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86A55" w14:textId="77777777" w:rsidR="00746ACF" w:rsidRPr="00131750" w:rsidRDefault="00746ACF" w:rsidP="00746ACF">
      <w:pPr>
        <w:jc w:val="center"/>
        <w:rPr>
          <w:iCs/>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746ACF" w:rsidRPr="00EC40E2" w14:paraId="7E065596" w14:textId="77777777" w:rsidTr="00E82ACC">
        <w:trPr>
          <w:trHeight w:val="396"/>
          <w:jc w:val="center"/>
        </w:trPr>
        <w:tc>
          <w:tcPr>
            <w:tcW w:w="9242" w:type="dxa"/>
            <w:shd w:val="clear" w:color="auto" w:fill="C6D9F1"/>
            <w:vAlign w:val="center"/>
          </w:tcPr>
          <w:p w14:paraId="45342F45" w14:textId="77777777" w:rsidR="00746ACF" w:rsidRPr="00EC40E2" w:rsidRDefault="00746ACF" w:rsidP="00E82ACC">
            <w:pPr>
              <w:pStyle w:val="Default"/>
              <w:jc w:val="center"/>
              <w:rPr>
                <w:rFonts w:ascii="Arial" w:hAnsi="Arial" w:cs="Arial"/>
                <w:b/>
                <w:color w:val="17365D"/>
                <w:sz w:val="20"/>
                <w:szCs w:val="20"/>
              </w:rPr>
            </w:pPr>
            <w:r w:rsidRPr="00EC40E2">
              <w:rPr>
                <w:rFonts w:ascii="Arial" w:hAnsi="Arial" w:cs="Arial"/>
                <w:b/>
                <w:color w:val="17365D"/>
                <w:sz w:val="20"/>
                <w:szCs w:val="20"/>
              </w:rPr>
              <w:t>ADDITIONAL INFORMATION</w:t>
            </w:r>
            <w:r>
              <w:rPr>
                <w:rFonts w:ascii="Arial" w:hAnsi="Arial" w:cs="Arial"/>
                <w:b/>
                <w:color w:val="17365D"/>
                <w:sz w:val="20"/>
                <w:szCs w:val="20"/>
              </w:rPr>
              <w:t xml:space="preserve"> TO REPORTING TABLES </w:t>
            </w:r>
            <w:r w:rsidRPr="00EC40E2">
              <w:rPr>
                <w:rFonts w:ascii="Arial" w:hAnsi="Arial" w:cs="Arial"/>
                <w:b/>
                <w:color w:val="17365D"/>
                <w:sz w:val="20"/>
                <w:szCs w:val="20"/>
              </w:rPr>
              <w:t xml:space="preserve">1 – </w:t>
            </w:r>
            <w:r>
              <w:rPr>
                <w:rFonts w:ascii="Arial" w:hAnsi="Arial" w:cs="Arial"/>
                <w:b/>
                <w:color w:val="17365D"/>
                <w:sz w:val="20"/>
                <w:szCs w:val="20"/>
              </w:rPr>
              <w:t>TOTAL COSTS AND UNIT COSTS</w:t>
            </w:r>
          </w:p>
        </w:tc>
      </w:tr>
    </w:tbl>
    <w:p w14:paraId="59E15DD8" w14:textId="21027B5E" w:rsidR="00B17C0C" w:rsidRDefault="00B17C0C" w:rsidP="00933908">
      <w:pPr>
        <w:pStyle w:val="Default"/>
        <w:jc w:val="both"/>
        <w:rPr>
          <w:rFonts w:ascii="Arial" w:hAnsi="Arial" w:cs="Arial"/>
          <w:color w:val="17365D"/>
          <w:sz w:val="20"/>
          <w:szCs w:val="20"/>
        </w:rPr>
      </w:pPr>
    </w:p>
    <w:p w14:paraId="774383A3" w14:textId="77777777" w:rsidR="00746ACF" w:rsidRDefault="00746ACF" w:rsidP="00933908">
      <w:pPr>
        <w:pStyle w:val="Default"/>
        <w:jc w:val="both"/>
        <w:rPr>
          <w:rFonts w:ascii="Arial" w:hAnsi="Arial" w:cs="Arial"/>
          <w:color w:val="17365D"/>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EC40E2" w14:paraId="08A77768" w14:textId="77777777" w:rsidTr="00B66DE4">
        <w:trPr>
          <w:trHeight w:val="396"/>
          <w:jc w:val="center"/>
        </w:trPr>
        <w:tc>
          <w:tcPr>
            <w:tcW w:w="9060" w:type="dxa"/>
            <w:shd w:val="clear" w:color="auto" w:fill="C6D9F1"/>
            <w:vAlign w:val="center"/>
          </w:tcPr>
          <w:p w14:paraId="35DA0967" w14:textId="77777777" w:rsidR="00933908" w:rsidRPr="00EC40E2" w:rsidRDefault="00933908"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t>Determined costs and unit costs</w:t>
            </w:r>
          </w:p>
        </w:tc>
      </w:tr>
    </w:tbl>
    <w:p w14:paraId="1B9C9318" w14:textId="77777777" w:rsidR="00933908" w:rsidRDefault="00933908" w:rsidP="00933908">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933908" w:rsidRPr="00CA5B88" w14:paraId="5311050B" w14:textId="77777777" w:rsidTr="002D6CCF">
        <w:tc>
          <w:tcPr>
            <w:tcW w:w="9242" w:type="dxa"/>
            <w:shd w:val="clear" w:color="auto" w:fill="C6D9F1"/>
          </w:tcPr>
          <w:p w14:paraId="60C3D00A" w14:textId="77777777" w:rsidR="00933908" w:rsidRPr="00CA5B88" w:rsidRDefault="00933908" w:rsidP="00352E4E">
            <w:pPr>
              <w:pStyle w:val="Default"/>
              <w:spacing w:before="60" w:after="60"/>
              <w:jc w:val="both"/>
              <w:rPr>
                <w:rFonts w:ascii="Arial" w:hAnsi="Arial" w:cs="Arial"/>
                <w:b/>
                <w:color w:val="17365D"/>
                <w:sz w:val="20"/>
                <w:szCs w:val="20"/>
              </w:rPr>
            </w:pPr>
            <w:r w:rsidRPr="00CA5B88">
              <w:rPr>
                <w:rFonts w:ascii="Arial" w:hAnsi="Arial" w:cs="Arial"/>
                <w:b/>
                <w:color w:val="17365D"/>
                <w:sz w:val="20"/>
                <w:szCs w:val="20"/>
              </w:rPr>
              <w:t xml:space="preserve">a) </w:t>
            </w:r>
            <w:r w:rsidR="00352E4E">
              <w:rPr>
                <w:rFonts w:ascii="Arial" w:hAnsi="Arial" w:cs="Arial"/>
                <w:b/>
                <w:color w:val="17365D"/>
                <w:sz w:val="20"/>
                <w:szCs w:val="20"/>
              </w:rPr>
              <w:t>D</w:t>
            </w:r>
            <w:r w:rsidR="00556F7D" w:rsidRPr="00556F7D">
              <w:rPr>
                <w:rFonts w:ascii="Arial" w:hAnsi="Arial" w:cs="Arial"/>
                <w:b/>
                <w:color w:val="17365D"/>
                <w:sz w:val="20"/>
                <w:szCs w:val="20"/>
              </w:rPr>
              <w:t>escription of the methodology used for allocating costs of facilities or services between different air navigation services, based on the list of facilities and services listed in ICAO Regional Air Navigation Plan, European Region (Doc 7754) as last amended, and a description of the methodology used for allocating those costs between different charging zones;</w:t>
            </w:r>
          </w:p>
        </w:tc>
      </w:tr>
    </w:tbl>
    <w:p w14:paraId="4EFB6909" w14:textId="77777777" w:rsidR="00352E4E" w:rsidRDefault="00352E4E" w:rsidP="00E57288">
      <w:pPr>
        <w:pStyle w:val="Default"/>
        <w:jc w:val="both"/>
        <w:rPr>
          <w:rFonts w:ascii="Arial" w:hAnsi="Arial" w:cs="Arial"/>
          <w:color w:val="17365D"/>
          <w:sz w:val="20"/>
          <w:szCs w:val="20"/>
        </w:rPr>
      </w:pPr>
    </w:p>
    <w:p w14:paraId="0FCA90B7" w14:textId="77777777" w:rsidR="0036192E" w:rsidRPr="00F62709" w:rsidRDefault="0036192E" w:rsidP="0036192E">
      <w:pPr>
        <w:pStyle w:val="Brdtekstinnrykk2"/>
        <w:ind w:left="0"/>
        <w:rPr>
          <w:spacing w:val="-2"/>
          <w:szCs w:val="20"/>
        </w:rPr>
      </w:pPr>
      <w:proofErr w:type="spellStart"/>
      <w:r w:rsidRPr="00F62709">
        <w:rPr>
          <w:b/>
          <w:spacing w:val="-2"/>
          <w:szCs w:val="20"/>
        </w:rPr>
        <w:t>Avinor</w:t>
      </w:r>
      <w:proofErr w:type="spellEnd"/>
      <w:r w:rsidRPr="00F62709">
        <w:rPr>
          <w:b/>
          <w:spacing w:val="-2"/>
          <w:szCs w:val="20"/>
        </w:rPr>
        <w:t xml:space="preserve"> Air Navigation Services (</w:t>
      </w:r>
      <w:proofErr w:type="spellStart"/>
      <w:r w:rsidRPr="00F62709">
        <w:rPr>
          <w:b/>
          <w:spacing w:val="-2"/>
          <w:szCs w:val="20"/>
        </w:rPr>
        <w:t>Avinor</w:t>
      </w:r>
      <w:proofErr w:type="spellEnd"/>
      <w:r w:rsidRPr="00F62709">
        <w:rPr>
          <w:b/>
          <w:spacing w:val="-2"/>
          <w:szCs w:val="20"/>
        </w:rPr>
        <w:t xml:space="preserve"> ANS)</w:t>
      </w:r>
      <w:r w:rsidRPr="00F62709">
        <w:rPr>
          <w:spacing w:val="-2"/>
          <w:szCs w:val="20"/>
        </w:rPr>
        <w:t xml:space="preserve"> provides </w:t>
      </w:r>
      <w:proofErr w:type="spellStart"/>
      <w:r w:rsidRPr="00F62709">
        <w:rPr>
          <w:spacing w:val="-2"/>
          <w:szCs w:val="20"/>
        </w:rPr>
        <w:t>en</w:t>
      </w:r>
      <w:proofErr w:type="spellEnd"/>
      <w:r w:rsidRPr="00F62709">
        <w:rPr>
          <w:spacing w:val="-2"/>
          <w:szCs w:val="20"/>
        </w:rPr>
        <w:t xml:space="preserve">-route air navigation services in Norway charging zone. In addition, </w:t>
      </w:r>
      <w:proofErr w:type="spellStart"/>
      <w:r w:rsidRPr="00F62709">
        <w:rPr>
          <w:spacing w:val="-2"/>
          <w:szCs w:val="20"/>
        </w:rPr>
        <w:t>Avinor</w:t>
      </w:r>
      <w:proofErr w:type="spellEnd"/>
      <w:r w:rsidRPr="00F62709">
        <w:rPr>
          <w:spacing w:val="-2"/>
          <w:szCs w:val="20"/>
        </w:rPr>
        <w:t xml:space="preserve"> ANS delivers local air navigation services at controlled aerodromes and approach control services in combination with aerodrome control units or as an integrated part of the Air Traffic Control Centres in Oslo and Bodø. </w:t>
      </w:r>
    </w:p>
    <w:p w14:paraId="691E87B5" w14:textId="77777777" w:rsidR="0036192E" w:rsidRPr="0036192E" w:rsidRDefault="0036192E" w:rsidP="0036192E">
      <w:pPr>
        <w:pStyle w:val="Brdtekstinnrykk2"/>
        <w:ind w:left="0"/>
        <w:rPr>
          <w:color w:val="FF0000"/>
          <w:spacing w:val="-2"/>
          <w:szCs w:val="20"/>
        </w:rPr>
      </w:pPr>
    </w:p>
    <w:p w14:paraId="5EB01E15" w14:textId="77777777" w:rsidR="00C205DA" w:rsidRDefault="0036192E" w:rsidP="0036192E">
      <w:pPr>
        <w:pStyle w:val="Brdtekstinnrykk2"/>
        <w:ind w:left="0"/>
        <w:rPr>
          <w:spacing w:val="-2"/>
          <w:szCs w:val="20"/>
        </w:rPr>
      </w:pPr>
      <w:r w:rsidRPr="00F62709">
        <w:rPr>
          <w:b/>
          <w:spacing w:val="-2"/>
          <w:szCs w:val="20"/>
        </w:rPr>
        <w:t>Operating cost:</w:t>
      </w:r>
      <w:r w:rsidRPr="00F62709">
        <w:rPr>
          <w:spacing w:val="-2"/>
          <w:szCs w:val="20"/>
        </w:rPr>
        <w:t xml:space="preserve"> Operating costs related to the provision of </w:t>
      </w:r>
      <w:proofErr w:type="spellStart"/>
      <w:r w:rsidRPr="00F62709">
        <w:rPr>
          <w:spacing w:val="-2"/>
          <w:szCs w:val="20"/>
        </w:rPr>
        <w:t>en</w:t>
      </w:r>
      <w:proofErr w:type="spellEnd"/>
      <w:r w:rsidRPr="00F62709">
        <w:rPr>
          <w:spacing w:val="-2"/>
          <w:szCs w:val="20"/>
        </w:rPr>
        <w:t xml:space="preserve">-route air navigation services from the three area control units in Bodø, Stavanger and Oslo are included in the </w:t>
      </w:r>
      <w:proofErr w:type="spellStart"/>
      <w:r w:rsidRPr="00F62709">
        <w:rPr>
          <w:spacing w:val="-2"/>
          <w:szCs w:val="20"/>
        </w:rPr>
        <w:t>en</w:t>
      </w:r>
      <w:proofErr w:type="spellEnd"/>
      <w:r w:rsidRPr="00F62709">
        <w:rPr>
          <w:spacing w:val="-2"/>
          <w:szCs w:val="20"/>
        </w:rPr>
        <w:t>-route cost base. In addition, a share of the operating cost</w:t>
      </w:r>
      <w:r w:rsidR="00C205DA">
        <w:rPr>
          <w:spacing w:val="-2"/>
          <w:szCs w:val="20"/>
        </w:rPr>
        <w:t>s</w:t>
      </w:r>
      <w:r w:rsidRPr="00F62709">
        <w:rPr>
          <w:spacing w:val="-2"/>
          <w:szCs w:val="20"/>
        </w:rPr>
        <w:t xml:space="preserve"> related to the provision of approach control services is included in the </w:t>
      </w:r>
      <w:proofErr w:type="spellStart"/>
      <w:r w:rsidRPr="00F62709">
        <w:rPr>
          <w:spacing w:val="-2"/>
          <w:szCs w:val="20"/>
        </w:rPr>
        <w:t>en</w:t>
      </w:r>
      <w:proofErr w:type="spellEnd"/>
      <w:r w:rsidRPr="00F62709">
        <w:rPr>
          <w:spacing w:val="-2"/>
          <w:szCs w:val="20"/>
        </w:rPr>
        <w:t xml:space="preserve">-route cost base. This basic share is 80% (50% in RP2) of the cost for the provision of approach control services. </w:t>
      </w:r>
    </w:p>
    <w:p w14:paraId="143DEFD7" w14:textId="77777777" w:rsidR="00C205DA" w:rsidRDefault="00C205DA" w:rsidP="0036192E">
      <w:pPr>
        <w:pStyle w:val="Brdtekstinnrykk2"/>
        <w:ind w:left="0"/>
        <w:rPr>
          <w:spacing w:val="-2"/>
          <w:szCs w:val="20"/>
        </w:rPr>
      </w:pPr>
    </w:p>
    <w:p w14:paraId="534912AE" w14:textId="257F005E" w:rsidR="0036192E" w:rsidRPr="00F62709" w:rsidRDefault="0036192E" w:rsidP="0036192E">
      <w:pPr>
        <w:pStyle w:val="Brdtekstinnrykk2"/>
        <w:ind w:left="0"/>
        <w:rPr>
          <w:spacing w:val="-2"/>
          <w:szCs w:val="20"/>
        </w:rPr>
      </w:pPr>
      <w:r w:rsidRPr="00F62709">
        <w:rPr>
          <w:spacing w:val="-2"/>
          <w:szCs w:val="20"/>
        </w:rPr>
        <w:t xml:space="preserve">Where approach control services are provided from an aerodrome control unit, an 80% share of the operating cost is allocated to the </w:t>
      </w:r>
      <w:proofErr w:type="spellStart"/>
      <w:r w:rsidRPr="00F62709">
        <w:rPr>
          <w:spacing w:val="-2"/>
          <w:szCs w:val="20"/>
        </w:rPr>
        <w:t>en</w:t>
      </w:r>
      <w:proofErr w:type="spellEnd"/>
      <w:r w:rsidRPr="00F62709">
        <w:rPr>
          <w:spacing w:val="-2"/>
          <w:szCs w:val="20"/>
        </w:rPr>
        <w:t xml:space="preserve">-route cost base. </w:t>
      </w:r>
    </w:p>
    <w:p w14:paraId="355E7494" w14:textId="77777777" w:rsidR="0036192E" w:rsidRPr="0036192E" w:rsidRDefault="0036192E" w:rsidP="0036192E">
      <w:pPr>
        <w:pStyle w:val="Brdtekstinnrykk2"/>
        <w:ind w:left="0"/>
        <w:rPr>
          <w:color w:val="FF0000"/>
          <w:spacing w:val="-2"/>
          <w:szCs w:val="20"/>
        </w:rPr>
      </w:pPr>
    </w:p>
    <w:p w14:paraId="03AB23AB" w14:textId="77777777" w:rsidR="0036192E" w:rsidRPr="00F62709" w:rsidRDefault="0036192E" w:rsidP="0036192E">
      <w:pPr>
        <w:pStyle w:val="Brdtekstinnrykk2"/>
        <w:ind w:left="0"/>
        <w:rPr>
          <w:spacing w:val="-2"/>
          <w:szCs w:val="20"/>
        </w:rPr>
      </w:pPr>
      <w:r w:rsidRPr="00F62709">
        <w:rPr>
          <w:spacing w:val="-2"/>
          <w:szCs w:val="20"/>
        </w:rPr>
        <w:t xml:space="preserve">When approach control services are provided from the Air Traffic Control Centres (ATCC) in Bodø and Oslo, a share of the operating cost is allocated to the provision of approach control service. In this case, 80% (50% in RP2) of this operating cost for approach control services is allocated to the </w:t>
      </w:r>
      <w:proofErr w:type="spellStart"/>
      <w:r w:rsidRPr="00F62709">
        <w:rPr>
          <w:spacing w:val="-2"/>
          <w:szCs w:val="20"/>
        </w:rPr>
        <w:t>en</w:t>
      </w:r>
      <w:proofErr w:type="spellEnd"/>
      <w:r w:rsidRPr="00F62709">
        <w:rPr>
          <w:spacing w:val="-2"/>
          <w:szCs w:val="20"/>
        </w:rPr>
        <w:t xml:space="preserve">-route cost base whereas the remaining 20% (50% in RP2) is distributed among the airports concerned. </w:t>
      </w:r>
    </w:p>
    <w:p w14:paraId="5783F8B0" w14:textId="77777777" w:rsidR="0036192E" w:rsidRPr="0036192E" w:rsidRDefault="0036192E" w:rsidP="0036192E">
      <w:pPr>
        <w:pStyle w:val="Brdtekstinnrykk2"/>
        <w:ind w:left="0"/>
        <w:rPr>
          <w:color w:val="FF0000"/>
          <w:spacing w:val="-2"/>
          <w:szCs w:val="20"/>
        </w:rPr>
      </w:pPr>
    </w:p>
    <w:p w14:paraId="7CE86029" w14:textId="258DD77C" w:rsidR="0036192E" w:rsidRPr="00F62709" w:rsidRDefault="0036192E" w:rsidP="0036192E">
      <w:pPr>
        <w:pStyle w:val="Brdtekstinnrykk2"/>
        <w:ind w:left="0"/>
        <w:rPr>
          <w:spacing w:val="-2"/>
          <w:szCs w:val="20"/>
        </w:rPr>
      </w:pPr>
      <w:r w:rsidRPr="00F62709">
        <w:rPr>
          <w:spacing w:val="-2"/>
          <w:szCs w:val="20"/>
        </w:rPr>
        <w:t xml:space="preserve">The costs of military activities (FUA) are included in the </w:t>
      </w:r>
      <w:proofErr w:type="spellStart"/>
      <w:r w:rsidRPr="00F62709">
        <w:rPr>
          <w:spacing w:val="-2"/>
          <w:szCs w:val="20"/>
        </w:rPr>
        <w:t>en</w:t>
      </w:r>
      <w:proofErr w:type="spellEnd"/>
      <w:r w:rsidRPr="00F62709">
        <w:rPr>
          <w:spacing w:val="-2"/>
          <w:szCs w:val="20"/>
        </w:rPr>
        <w:t>-route cost base. Th</w:t>
      </w:r>
      <w:r w:rsidR="00516CD2">
        <w:rPr>
          <w:spacing w:val="-2"/>
          <w:szCs w:val="20"/>
        </w:rPr>
        <w:t>ese</w:t>
      </w:r>
      <w:r w:rsidRPr="00F62709">
        <w:rPr>
          <w:spacing w:val="-2"/>
          <w:szCs w:val="20"/>
        </w:rPr>
        <w:t xml:space="preserve"> cost</w:t>
      </w:r>
      <w:r w:rsidR="00516CD2">
        <w:rPr>
          <w:spacing w:val="-2"/>
          <w:szCs w:val="20"/>
        </w:rPr>
        <w:t>s</w:t>
      </w:r>
      <w:r w:rsidRPr="00F62709">
        <w:rPr>
          <w:spacing w:val="-2"/>
          <w:szCs w:val="20"/>
        </w:rPr>
        <w:t xml:space="preserve"> includ</w:t>
      </w:r>
      <w:r w:rsidR="00516CD2">
        <w:rPr>
          <w:spacing w:val="-2"/>
          <w:szCs w:val="20"/>
        </w:rPr>
        <w:t>e</w:t>
      </w:r>
      <w:r w:rsidRPr="00F62709">
        <w:rPr>
          <w:spacing w:val="-2"/>
          <w:szCs w:val="20"/>
        </w:rPr>
        <w:t xml:space="preserve"> separation of military and civil flights, planning and service provision during military exercises, advisory services </w:t>
      </w:r>
      <w:proofErr w:type="gramStart"/>
      <w:r w:rsidRPr="00F62709">
        <w:rPr>
          <w:spacing w:val="-2"/>
          <w:szCs w:val="20"/>
        </w:rPr>
        <w:t>i.e.</w:t>
      </w:r>
      <w:proofErr w:type="gramEnd"/>
      <w:r w:rsidRPr="00F62709">
        <w:rPr>
          <w:spacing w:val="-2"/>
          <w:szCs w:val="20"/>
        </w:rPr>
        <w:t xml:space="preserve"> airspace design, and air traffic services at military airports. In RP2 th</w:t>
      </w:r>
      <w:r w:rsidR="00516CD2">
        <w:rPr>
          <w:spacing w:val="-2"/>
          <w:szCs w:val="20"/>
        </w:rPr>
        <w:t>ese</w:t>
      </w:r>
      <w:r w:rsidRPr="00F62709">
        <w:rPr>
          <w:spacing w:val="-2"/>
          <w:szCs w:val="20"/>
        </w:rPr>
        <w:t xml:space="preserve"> cost</w:t>
      </w:r>
      <w:r w:rsidR="00516CD2">
        <w:rPr>
          <w:spacing w:val="-2"/>
          <w:szCs w:val="20"/>
        </w:rPr>
        <w:t>s</w:t>
      </w:r>
      <w:r w:rsidRPr="00F62709">
        <w:rPr>
          <w:spacing w:val="-2"/>
          <w:szCs w:val="20"/>
        </w:rPr>
        <w:t xml:space="preserve"> w</w:t>
      </w:r>
      <w:r w:rsidR="00516CD2">
        <w:rPr>
          <w:spacing w:val="-2"/>
          <w:szCs w:val="20"/>
        </w:rPr>
        <w:t>ere</w:t>
      </w:r>
      <w:r w:rsidRPr="00F62709">
        <w:rPr>
          <w:spacing w:val="-2"/>
          <w:szCs w:val="20"/>
        </w:rPr>
        <w:t xml:space="preserve"> extracted from the </w:t>
      </w:r>
      <w:proofErr w:type="spellStart"/>
      <w:r w:rsidRPr="00F62709">
        <w:rPr>
          <w:spacing w:val="-2"/>
          <w:szCs w:val="20"/>
        </w:rPr>
        <w:t>en</w:t>
      </w:r>
      <w:proofErr w:type="spellEnd"/>
      <w:r w:rsidRPr="00F62709">
        <w:rPr>
          <w:spacing w:val="-2"/>
          <w:szCs w:val="20"/>
        </w:rPr>
        <w:t>-route cost base and allocated to a separate cost base.</w:t>
      </w:r>
    </w:p>
    <w:p w14:paraId="79BDF822" w14:textId="77777777" w:rsidR="0036192E" w:rsidRPr="0036192E" w:rsidRDefault="0036192E" w:rsidP="0036192E">
      <w:pPr>
        <w:pStyle w:val="Brdtekstinnrykk2"/>
        <w:ind w:left="0"/>
        <w:rPr>
          <w:color w:val="FF0000"/>
          <w:spacing w:val="-2"/>
          <w:szCs w:val="20"/>
        </w:rPr>
      </w:pPr>
    </w:p>
    <w:p w14:paraId="07E51848" w14:textId="77777777" w:rsidR="0036192E" w:rsidRPr="00F62709" w:rsidRDefault="0036192E" w:rsidP="0036192E">
      <w:pPr>
        <w:pStyle w:val="Brdtekstinnrykk2"/>
        <w:ind w:left="0"/>
        <w:rPr>
          <w:spacing w:val="-2"/>
          <w:szCs w:val="20"/>
        </w:rPr>
      </w:pPr>
      <w:r w:rsidRPr="00F62709">
        <w:rPr>
          <w:spacing w:val="-2"/>
          <w:szCs w:val="20"/>
        </w:rPr>
        <w:t xml:space="preserve">The costs related to service provision to offshore helicopter operations from the </w:t>
      </w:r>
      <w:smartTag w:uri="urn:schemas-microsoft-com:office:smarttags" w:element="stockticker">
        <w:r w:rsidRPr="00F62709">
          <w:rPr>
            <w:spacing w:val="-2"/>
            <w:szCs w:val="20"/>
          </w:rPr>
          <w:t>ATCC</w:t>
        </w:r>
      </w:smartTag>
      <w:r w:rsidRPr="00F62709">
        <w:rPr>
          <w:spacing w:val="-2"/>
          <w:szCs w:val="20"/>
        </w:rPr>
        <w:t xml:space="preserve">´s in Bodø and Stavanger are identified separately, allocated to a separate cost </w:t>
      </w:r>
      <w:proofErr w:type="gramStart"/>
      <w:r w:rsidRPr="00F62709">
        <w:rPr>
          <w:spacing w:val="-2"/>
          <w:szCs w:val="20"/>
        </w:rPr>
        <w:t>base</w:t>
      </w:r>
      <w:proofErr w:type="gramEnd"/>
      <w:r w:rsidRPr="00F62709">
        <w:rPr>
          <w:spacing w:val="-2"/>
          <w:szCs w:val="20"/>
        </w:rPr>
        <w:t xml:space="preserve"> and removed from the </w:t>
      </w:r>
      <w:proofErr w:type="spellStart"/>
      <w:r w:rsidRPr="00F62709">
        <w:rPr>
          <w:spacing w:val="-2"/>
          <w:szCs w:val="20"/>
        </w:rPr>
        <w:t>en</w:t>
      </w:r>
      <w:proofErr w:type="spellEnd"/>
      <w:r w:rsidRPr="00F62709">
        <w:rPr>
          <w:spacing w:val="-2"/>
          <w:szCs w:val="20"/>
        </w:rPr>
        <w:t xml:space="preserve">-route cost base. </w:t>
      </w:r>
    </w:p>
    <w:p w14:paraId="7AE1333B" w14:textId="77777777" w:rsidR="0036192E" w:rsidRPr="0036192E" w:rsidRDefault="0036192E" w:rsidP="0036192E">
      <w:pPr>
        <w:pStyle w:val="Brdtekstinnrykk2"/>
        <w:ind w:left="0"/>
        <w:rPr>
          <w:color w:val="FF0000"/>
          <w:spacing w:val="-2"/>
          <w:szCs w:val="20"/>
        </w:rPr>
      </w:pPr>
    </w:p>
    <w:p w14:paraId="2C775DAA" w14:textId="04EA0900" w:rsidR="0036192E" w:rsidRPr="005B4357" w:rsidRDefault="0036192E" w:rsidP="0036192E">
      <w:pPr>
        <w:pStyle w:val="Brdtekstinnrykk2"/>
        <w:ind w:left="0"/>
        <w:rPr>
          <w:spacing w:val="-2"/>
          <w:szCs w:val="20"/>
        </w:rPr>
      </w:pPr>
      <w:r w:rsidRPr="005B4357">
        <w:rPr>
          <w:b/>
          <w:spacing w:val="-2"/>
          <w:szCs w:val="20"/>
        </w:rPr>
        <w:t>Support cost:</w:t>
      </w:r>
      <w:r w:rsidRPr="005B4357">
        <w:rPr>
          <w:spacing w:val="-2"/>
          <w:szCs w:val="20"/>
        </w:rPr>
        <w:t xml:space="preserve"> A number of cost allocation keys are in use to distribute different support and overhead cost</w:t>
      </w:r>
      <w:r w:rsidR="00516CD2">
        <w:rPr>
          <w:spacing w:val="-2"/>
          <w:szCs w:val="20"/>
        </w:rPr>
        <w:t>s</w:t>
      </w:r>
      <w:r w:rsidRPr="005B4357">
        <w:rPr>
          <w:spacing w:val="-2"/>
          <w:szCs w:val="20"/>
        </w:rPr>
        <w:t xml:space="preserve"> between all type of units. These allocation keys are different, dependant on the type of cost. The main purpose is to ensure that the cost allocation is in line with the operational requirements and the actual use of the different support functions. Support cost associated with tower control functions is forwarded to the airport operators. 20% (50% in RP2) of the cost associated with approach control functions is allocated to the airport operators, whereas the remaining 80% (50% in RP2) and the support cost associated with </w:t>
      </w:r>
      <w:proofErr w:type="spellStart"/>
      <w:r w:rsidRPr="005B4357">
        <w:rPr>
          <w:spacing w:val="-2"/>
          <w:szCs w:val="20"/>
        </w:rPr>
        <w:t>en</w:t>
      </w:r>
      <w:proofErr w:type="spellEnd"/>
      <w:r w:rsidRPr="005B4357">
        <w:rPr>
          <w:spacing w:val="-2"/>
          <w:szCs w:val="20"/>
        </w:rPr>
        <w:t xml:space="preserve">-route functions is allocated to the </w:t>
      </w:r>
      <w:proofErr w:type="spellStart"/>
      <w:r w:rsidRPr="005B4357">
        <w:rPr>
          <w:spacing w:val="-2"/>
          <w:szCs w:val="20"/>
        </w:rPr>
        <w:t>en</w:t>
      </w:r>
      <w:proofErr w:type="spellEnd"/>
      <w:r w:rsidRPr="005B4357">
        <w:rPr>
          <w:spacing w:val="-2"/>
          <w:szCs w:val="20"/>
        </w:rPr>
        <w:t>-route cost base.</w:t>
      </w:r>
    </w:p>
    <w:p w14:paraId="7A5106B7" w14:textId="77777777" w:rsidR="0036192E" w:rsidRPr="0036192E" w:rsidRDefault="0036192E" w:rsidP="0036192E">
      <w:pPr>
        <w:pStyle w:val="Brdtekstinnrykk2"/>
        <w:ind w:left="0"/>
        <w:rPr>
          <w:color w:val="FF0000"/>
          <w:spacing w:val="-2"/>
          <w:szCs w:val="20"/>
        </w:rPr>
      </w:pPr>
    </w:p>
    <w:p w14:paraId="117B9105" w14:textId="4F9F408F" w:rsidR="0036192E" w:rsidRPr="005B4357" w:rsidRDefault="0036192E" w:rsidP="0036192E">
      <w:pPr>
        <w:pStyle w:val="Brdtekstinnrykk2"/>
        <w:ind w:left="0"/>
        <w:rPr>
          <w:spacing w:val="-2"/>
          <w:szCs w:val="20"/>
        </w:rPr>
      </w:pPr>
      <w:r w:rsidRPr="005B4357">
        <w:rPr>
          <w:b/>
          <w:spacing w:val="-2"/>
          <w:szCs w:val="20"/>
        </w:rPr>
        <w:t xml:space="preserve">CNS-cost: </w:t>
      </w:r>
      <w:r w:rsidRPr="005B4357">
        <w:rPr>
          <w:spacing w:val="-2"/>
          <w:szCs w:val="20"/>
        </w:rPr>
        <w:t xml:space="preserve">The cost related to the operation of the CNS facilities is divided between tower control functions, approach control functions and </w:t>
      </w:r>
      <w:proofErr w:type="spellStart"/>
      <w:r w:rsidRPr="005B4357">
        <w:rPr>
          <w:spacing w:val="-2"/>
          <w:szCs w:val="20"/>
        </w:rPr>
        <w:t>en</w:t>
      </w:r>
      <w:proofErr w:type="spellEnd"/>
      <w:r w:rsidRPr="005B4357">
        <w:rPr>
          <w:spacing w:val="-2"/>
          <w:szCs w:val="20"/>
        </w:rPr>
        <w:t xml:space="preserve">-route functions. When CNS/ATM-equipment is serving different functions, a proportional number is defined for each installation based on the operational requirements and the actual use of the installation concerned. The cost related to tower control functions is allocated entirely to the airport operator, whereas the cost related to approach control services is divided between the airport operator and the </w:t>
      </w:r>
      <w:proofErr w:type="spellStart"/>
      <w:r w:rsidRPr="005B4357">
        <w:rPr>
          <w:spacing w:val="-2"/>
          <w:szCs w:val="20"/>
        </w:rPr>
        <w:t>en</w:t>
      </w:r>
      <w:proofErr w:type="spellEnd"/>
      <w:r w:rsidRPr="005B4357">
        <w:rPr>
          <w:spacing w:val="-2"/>
          <w:szCs w:val="20"/>
        </w:rPr>
        <w:t xml:space="preserve">-route cost base </w:t>
      </w:r>
      <w:r w:rsidR="00C205DA">
        <w:rPr>
          <w:spacing w:val="-2"/>
          <w:szCs w:val="20"/>
        </w:rPr>
        <w:t>in line with</w:t>
      </w:r>
      <w:r w:rsidR="00C205DA" w:rsidRPr="005B4357">
        <w:rPr>
          <w:spacing w:val="-2"/>
          <w:szCs w:val="20"/>
        </w:rPr>
        <w:t xml:space="preserve"> </w:t>
      </w:r>
      <w:r w:rsidRPr="005B4357">
        <w:rPr>
          <w:spacing w:val="-2"/>
          <w:szCs w:val="20"/>
        </w:rPr>
        <w:t>the applicable cost allocation of approach control cost</w:t>
      </w:r>
      <w:r w:rsidR="005B4357">
        <w:rPr>
          <w:spacing w:val="-2"/>
          <w:szCs w:val="20"/>
        </w:rPr>
        <w:t xml:space="preserve"> (see above).</w:t>
      </w:r>
      <w:r w:rsidRPr="005B4357">
        <w:rPr>
          <w:spacing w:val="-2"/>
          <w:szCs w:val="20"/>
        </w:rPr>
        <w:t xml:space="preserve"> The cost allocated to </w:t>
      </w:r>
      <w:proofErr w:type="spellStart"/>
      <w:r w:rsidRPr="005B4357">
        <w:rPr>
          <w:spacing w:val="-2"/>
          <w:szCs w:val="20"/>
        </w:rPr>
        <w:t>en</w:t>
      </w:r>
      <w:proofErr w:type="spellEnd"/>
      <w:r w:rsidRPr="005B4357">
        <w:rPr>
          <w:spacing w:val="-2"/>
          <w:szCs w:val="20"/>
        </w:rPr>
        <w:t xml:space="preserve">-route functions is allocated entirely to the </w:t>
      </w:r>
      <w:proofErr w:type="spellStart"/>
      <w:r w:rsidRPr="005B4357">
        <w:rPr>
          <w:spacing w:val="-2"/>
          <w:szCs w:val="20"/>
        </w:rPr>
        <w:t>en</w:t>
      </w:r>
      <w:proofErr w:type="spellEnd"/>
      <w:r w:rsidRPr="005B4357">
        <w:rPr>
          <w:spacing w:val="-2"/>
          <w:szCs w:val="20"/>
        </w:rPr>
        <w:t>-route cost base.</w:t>
      </w:r>
    </w:p>
    <w:p w14:paraId="4C772E14" w14:textId="77777777" w:rsidR="0036192E" w:rsidRPr="0036192E" w:rsidRDefault="0036192E" w:rsidP="0036192E">
      <w:pPr>
        <w:pStyle w:val="Brdtekstinnrykk2"/>
        <w:ind w:left="0"/>
        <w:rPr>
          <w:color w:val="FF0000"/>
          <w:spacing w:val="-2"/>
          <w:szCs w:val="20"/>
        </w:rPr>
      </w:pPr>
    </w:p>
    <w:p w14:paraId="132F9720" w14:textId="578DA55E" w:rsidR="0036192E" w:rsidRPr="005B4357" w:rsidRDefault="0036192E" w:rsidP="0036192E">
      <w:pPr>
        <w:pStyle w:val="Brdtekstinnrykk2"/>
        <w:ind w:left="0"/>
        <w:rPr>
          <w:spacing w:val="-2"/>
          <w:szCs w:val="20"/>
        </w:rPr>
      </w:pPr>
      <w:r w:rsidRPr="005B4357">
        <w:rPr>
          <w:b/>
          <w:spacing w:val="-2"/>
          <w:szCs w:val="20"/>
        </w:rPr>
        <w:lastRenderedPageBreak/>
        <w:t xml:space="preserve">Depreciation: </w:t>
      </w:r>
      <w:r w:rsidRPr="005B4357">
        <w:rPr>
          <w:spacing w:val="-2"/>
          <w:szCs w:val="20"/>
        </w:rPr>
        <w:t xml:space="preserve">Depreciation cost is allocated depending on the actual use of the installations concerned. Where an installation serves different functions, a proportional division between tower control services, approach control services and </w:t>
      </w:r>
      <w:proofErr w:type="spellStart"/>
      <w:r w:rsidRPr="005B4357">
        <w:rPr>
          <w:spacing w:val="-2"/>
          <w:szCs w:val="20"/>
        </w:rPr>
        <w:t>en</w:t>
      </w:r>
      <w:proofErr w:type="spellEnd"/>
      <w:r w:rsidRPr="005B4357">
        <w:rPr>
          <w:spacing w:val="-2"/>
          <w:szCs w:val="20"/>
        </w:rPr>
        <w:t xml:space="preserve">-route services are determined. This is determined based on the operational use of the installation. The depreciation cost in the </w:t>
      </w:r>
      <w:proofErr w:type="spellStart"/>
      <w:r w:rsidRPr="005B4357">
        <w:rPr>
          <w:spacing w:val="-2"/>
          <w:szCs w:val="20"/>
        </w:rPr>
        <w:t>en</w:t>
      </w:r>
      <w:proofErr w:type="spellEnd"/>
      <w:r w:rsidRPr="005B4357">
        <w:rPr>
          <w:spacing w:val="-2"/>
          <w:szCs w:val="20"/>
        </w:rPr>
        <w:t xml:space="preserve">-route cost base includes the depreciation for installations that are used entirely or partly for </w:t>
      </w:r>
      <w:proofErr w:type="spellStart"/>
      <w:r w:rsidRPr="005B4357">
        <w:rPr>
          <w:spacing w:val="-2"/>
          <w:szCs w:val="20"/>
        </w:rPr>
        <w:t>en</w:t>
      </w:r>
      <w:proofErr w:type="spellEnd"/>
      <w:r w:rsidRPr="005B4357">
        <w:rPr>
          <w:spacing w:val="-2"/>
          <w:szCs w:val="20"/>
        </w:rPr>
        <w:t>-route functions and 80% (50% in RP2) of the depreciation cost for installations that are used entirely or partly for approach control functions</w:t>
      </w:r>
      <w:r w:rsidR="005B4357" w:rsidRPr="005B4357">
        <w:rPr>
          <w:spacing w:val="-2"/>
          <w:szCs w:val="20"/>
        </w:rPr>
        <w:t>.</w:t>
      </w:r>
    </w:p>
    <w:p w14:paraId="23C562A5" w14:textId="77777777" w:rsidR="0036192E" w:rsidRPr="0036192E" w:rsidRDefault="0036192E" w:rsidP="0036192E">
      <w:pPr>
        <w:pStyle w:val="Default"/>
        <w:jc w:val="both"/>
        <w:rPr>
          <w:rFonts w:ascii="Arial" w:hAnsi="Arial" w:cs="Arial"/>
          <w:color w:val="FF0000"/>
          <w:sz w:val="20"/>
          <w:szCs w:val="20"/>
        </w:rPr>
      </w:pPr>
    </w:p>
    <w:p w14:paraId="66661A5F" w14:textId="77777777" w:rsidR="0036192E" w:rsidRPr="00157F86" w:rsidRDefault="0036192E" w:rsidP="0036192E">
      <w:pPr>
        <w:pStyle w:val="Default"/>
        <w:jc w:val="both"/>
        <w:rPr>
          <w:rFonts w:ascii="Arial" w:hAnsi="Arial" w:cs="Arial"/>
          <w:color w:val="auto"/>
          <w:sz w:val="20"/>
          <w:szCs w:val="20"/>
          <w:lang w:val="en-US"/>
        </w:rPr>
      </w:pPr>
      <w:proofErr w:type="spellStart"/>
      <w:r w:rsidRPr="00157F86">
        <w:rPr>
          <w:rFonts w:ascii="Arial" w:hAnsi="Arial" w:cs="Arial"/>
          <w:b/>
          <w:color w:val="auto"/>
          <w:sz w:val="20"/>
          <w:szCs w:val="20"/>
          <w:lang w:val="en-US"/>
        </w:rPr>
        <w:t>Avinor</w:t>
      </w:r>
      <w:proofErr w:type="spellEnd"/>
      <w:r w:rsidRPr="00157F86">
        <w:rPr>
          <w:rFonts w:ascii="Arial" w:hAnsi="Arial" w:cs="Arial"/>
          <w:b/>
          <w:color w:val="auto"/>
          <w:sz w:val="20"/>
          <w:szCs w:val="20"/>
          <w:lang w:val="en-US"/>
        </w:rPr>
        <w:t xml:space="preserve"> AS - Kristiansand airport, </w:t>
      </w:r>
      <w:proofErr w:type="spellStart"/>
      <w:r w:rsidRPr="00157F86">
        <w:rPr>
          <w:rFonts w:ascii="Arial" w:hAnsi="Arial" w:cs="Arial"/>
          <w:b/>
          <w:color w:val="auto"/>
          <w:sz w:val="20"/>
          <w:szCs w:val="20"/>
          <w:lang w:val="en-US"/>
        </w:rPr>
        <w:t>Kjevik</w:t>
      </w:r>
      <w:proofErr w:type="spellEnd"/>
      <w:r w:rsidRPr="00157F86">
        <w:rPr>
          <w:rFonts w:ascii="Arial" w:hAnsi="Arial" w:cs="Arial"/>
          <w:b/>
          <w:color w:val="auto"/>
          <w:sz w:val="20"/>
          <w:szCs w:val="20"/>
          <w:lang w:val="en-US"/>
        </w:rPr>
        <w:t xml:space="preserve"> (</w:t>
      </w:r>
      <w:proofErr w:type="spellStart"/>
      <w:r w:rsidRPr="00157F86">
        <w:rPr>
          <w:rFonts w:ascii="Arial" w:hAnsi="Arial" w:cs="Arial"/>
          <w:b/>
          <w:color w:val="auto"/>
          <w:sz w:val="20"/>
          <w:szCs w:val="20"/>
          <w:lang w:val="en-US"/>
        </w:rPr>
        <w:t>Saerco</w:t>
      </w:r>
      <w:proofErr w:type="spellEnd"/>
      <w:r w:rsidRPr="00157F86">
        <w:rPr>
          <w:rFonts w:ascii="Arial" w:hAnsi="Arial" w:cs="Arial"/>
          <w:b/>
          <w:color w:val="auto"/>
          <w:sz w:val="20"/>
          <w:szCs w:val="20"/>
          <w:lang w:val="en-US"/>
        </w:rPr>
        <w:t xml:space="preserve"> Norge):</w:t>
      </w:r>
    </w:p>
    <w:p w14:paraId="6FC3CB3D" w14:textId="63A5DFBA" w:rsidR="00D57044" w:rsidRDefault="00765FC8" w:rsidP="0036192E">
      <w:pPr>
        <w:pStyle w:val="Default"/>
        <w:jc w:val="both"/>
        <w:rPr>
          <w:rFonts w:ascii="Arial" w:hAnsi="Arial" w:cs="Arial"/>
          <w:color w:val="auto"/>
          <w:sz w:val="20"/>
          <w:szCs w:val="20"/>
        </w:rPr>
      </w:pPr>
      <w:r>
        <w:rPr>
          <w:rFonts w:ascii="Arial" w:hAnsi="Arial" w:cs="Arial"/>
          <w:color w:val="auto"/>
          <w:sz w:val="20"/>
          <w:szCs w:val="20"/>
        </w:rPr>
        <w:t>Through a tender process in 2019</w:t>
      </w:r>
      <w:r w:rsidR="00C205DA">
        <w:rPr>
          <w:rFonts w:ascii="Arial" w:hAnsi="Arial" w:cs="Arial"/>
          <w:color w:val="auto"/>
          <w:sz w:val="20"/>
          <w:szCs w:val="20"/>
        </w:rPr>
        <w:t xml:space="preserve"> </w:t>
      </w:r>
      <w:r>
        <w:rPr>
          <w:rFonts w:ascii="Arial" w:hAnsi="Arial" w:cs="Arial"/>
          <w:color w:val="auto"/>
          <w:sz w:val="20"/>
          <w:szCs w:val="20"/>
        </w:rPr>
        <w:t>t</w:t>
      </w:r>
      <w:r w:rsidR="00FA4558" w:rsidRPr="00157F86">
        <w:rPr>
          <w:rFonts w:ascii="Arial" w:hAnsi="Arial" w:cs="Arial"/>
          <w:color w:val="auto"/>
          <w:sz w:val="20"/>
          <w:szCs w:val="20"/>
        </w:rPr>
        <w:t xml:space="preserve">he </w:t>
      </w:r>
      <w:r w:rsidR="0036192E" w:rsidRPr="00157F86">
        <w:rPr>
          <w:rFonts w:ascii="Arial" w:hAnsi="Arial" w:cs="Arial"/>
          <w:color w:val="auto"/>
          <w:sz w:val="20"/>
          <w:szCs w:val="20"/>
        </w:rPr>
        <w:t xml:space="preserve">Spanish company </w:t>
      </w:r>
      <w:proofErr w:type="spellStart"/>
      <w:r w:rsidR="0036192E" w:rsidRPr="00157F86">
        <w:rPr>
          <w:rFonts w:ascii="Arial" w:hAnsi="Arial" w:cs="Arial"/>
          <w:color w:val="auto"/>
          <w:sz w:val="20"/>
          <w:szCs w:val="20"/>
        </w:rPr>
        <w:t>Saerco</w:t>
      </w:r>
      <w:proofErr w:type="spellEnd"/>
      <w:r w:rsidR="00D57044">
        <w:rPr>
          <w:rFonts w:ascii="Arial" w:hAnsi="Arial" w:cs="Arial"/>
          <w:color w:val="auto"/>
          <w:sz w:val="20"/>
          <w:szCs w:val="20"/>
        </w:rPr>
        <w:t xml:space="preserve"> was awarded</w:t>
      </w:r>
      <w:r w:rsidR="0036192E" w:rsidRPr="00157F86">
        <w:rPr>
          <w:rFonts w:ascii="Arial" w:hAnsi="Arial" w:cs="Arial"/>
          <w:color w:val="auto"/>
          <w:sz w:val="20"/>
          <w:szCs w:val="20"/>
        </w:rPr>
        <w:t xml:space="preserve"> the right to provide ATC-services for “tower and approach” at one of the medium sized </w:t>
      </w:r>
      <w:r>
        <w:rPr>
          <w:rFonts w:ascii="Arial" w:hAnsi="Arial" w:cs="Arial"/>
          <w:color w:val="auto"/>
          <w:sz w:val="20"/>
          <w:szCs w:val="20"/>
        </w:rPr>
        <w:t xml:space="preserve">Norwegian </w:t>
      </w:r>
      <w:r w:rsidR="0036192E" w:rsidRPr="00157F86">
        <w:rPr>
          <w:rFonts w:ascii="Arial" w:hAnsi="Arial" w:cs="Arial"/>
          <w:color w:val="auto"/>
          <w:sz w:val="20"/>
          <w:szCs w:val="20"/>
        </w:rPr>
        <w:t xml:space="preserve">airports (Kristiansand airport, </w:t>
      </w:r>
      <w:proofErr w:type="spellStart"/>
      <w:r w:rsidR="0036192E" w:rsidRPr="00157F86">
        <w:rPr>
          <w:rFonts w:ascii="Arial" w:hAnsi="Arial" w:cs="Arial"/>
          <w:color w:val="auto"/>
          <w:sz w:val="20"/>
          <w:szCs w:val="20"/>
        </w:rPr>
        <w:t>Kjevik</w:t>
      </w:r>
      <w:proofErr w:type="spellEnd"/>
      <w:r w:rsidR="0036192E" w:rsidRPr="00157F86">
        <w:rPr>
          <w:rFonts w:ascii="Arial" w:hAnsi="Arial" w:cs="Arial"/>
          <w:color w:val="auto"/>
          <w:sz w:val="20"/>
          <w:szCs w:val="20"/>
        </w:rPr>
        <w:t>)</w:t>
      </w:r>
      <w:r>
        <w:rPr>
          <w:rFonts w:ascii="Arial" w:hAnsi="Arial" w:cs="Arial"/>
          <w:color w:val="auto"/>
          <w:sz w:val="20"/>
          <w:szCs w:val="20"/>
        </w:rPr>
        <w:t xml:space="preserve">. </w:t>
      </w:r>
      <w:proofErr w:type="spellStart"/>
      <w:r>
        <w:rPr>
          <w:rFonts w:ascii="Arial" w:hAnsi="Arial" w:cs="Arial"/>
          <w:color w:val="auto"/>
          <w:sz w:val="20"/>
          <w:szCs w:val="20"/>
        </w:rPr>
        <w:t>Saerco</w:t>
      </w:r>
      <w:proofErr w:type="spellEnd"/>
      <w:r>
        <w:rPr>
          <w:rFonts w:ascii="Arial" w:hAnsi="Arial" w:cs="Arial"/>
          <w:color w:val="auto"/>
          <w:sz w:val="20"/>
          <w:szCs w:val="20"/>
        </w:rPr>
        <w:t xml:space="preserve"> started its operations at </w:t>
      </w:r>
      <w:proofErr w:type="spellStart"/>
      <w:r>
        <w:rPr>
          <w:rFonts w:ascii="Arial" w:hAnsi="Arial" w:cs="Arial"/>
          <w:color w:val="auto"/>
          <w:sz w:val="20"/>
          <w:szCs w:val="20"/>
        </w:rPr>
        <w:t>Kjevik</w:t>
      </w:r>
      <w:proofErr w:type="spellEnd"/>
      <w:r>
        <w:rPr>
          <w:rFonts w:ascii="Arial" w:hAnsi="Arial" w:cs="Arial"/>
          <w:color w:val="auto"/>
          <w:sz w:val="20"/>
          <w:szCs w:val="20"/>
        </w:rPr>
        <w:t xml:space="preserve"> 28 April 2020. </w:t>
      </w:r>
      <w:r w:rsidR="0036192E" w:rsidRPr="00157F86">
        <w:rPr>
          <w:rFonts w:ascii="Arial" w:hAnsi="Arial" w:cs="Arial"/>
          <w:color w:val="auto"/>
          <w:sz w:val="20"/>
          <w:szCs w:val="20"/>
        </w:rPr>
        <w:t xml:space="preserve"> </w:t>
      </w:r>
    </w:p>
    <w:p w14:paraId="7BE3D1E0" w14:textId="77777777" w:rsidR="00D57044" w:rsidRDefault="00D57044" w:rsidP="0036192E">
      <w:pPr>
        <w:pStyle w:val="Default"/>
        <w:jc w:val="both"/>
        <w:rPr>
          <w:rFonts w:ascii="Arial" w:hAnsi="Arial" w:cs="Arial"/>
          <w:color w:val="auto"/>
          <w:sz w:val="20"/>
          <w:szCs w:val="20"/>
        </w:rPr>
      </w:pPr>
    </w:p>
    <w:p w14:paraId="710B7B91" w14:textId="236F3A54" w:rsidR="00765FC8" w:rsidRDefault="00765FC8" w:rsidP="0036192E">
      <w:pPr>
        <w:pStyle w:val="Default"/>
        <w:jc w:val="both"/>
        <w:rPr>
          <w:rFonts w:ascii="Arial" w:hAnsi="Arial" w:cs="Arial"/>
          <w:color w:val="auto"/>
          <w:sz w:val="20"/>
          <w:szCs w:val="20"/>
        </w:rPr>
      </w:pPr>
      <w:r>
        <w:rPr>
          <w:rFonts w:ascii="Arial" w:hAnsi="Arial" w:cs="Arial"/>
          <w:color w:val="auto"/>
          <w:sz w:val="20"/>
          <w:szCs w:val="20"/>
        </w:rPr>
        <w:t>The allocation key for approach cost as described above is based on a</w:t>
      </w:r>
      <w:r w:rsidRPr="00CA7B61">
        <w:rPr>
          <w:rFonts w:ascii="Arial" w:hAnsi="Arial" w:cs="Arial"/>
          <w:color w:val="auto"/>
          <w:sz w:val="20"/>
          <w:szCs w:val="20"/>
        </w:rPr>
        <w:t xml:space="preserve"> national decision irrespective of service provider</w:t>
      </w:r>
      <w:r>
        <w:rPr>
          <w:rFonts w:ascii="Arial" w:hAnsi="Arial" w:cs="Arial"/>
          <w:color w:val="auto"/>
          <w:sz w:val="20"/>
          <w:szCs w:val="20"/>
        </w:rPr>
        <w:t xml:space="preserve">. As a consequence the </w:t>
      </w:r>
      <w:proofErr w:type="spellStart"/>
      <w:r>
        <w:rPr>
          <w:rFonts w:ascii="Arial" w:hAnsi="Arial" w:cs="Arial"/>
          <w:color w:val="auto"/>
          <w:sz w:val="20"/>
          <w:szCs w:val="20"/>
        </w:rPr>
        <w:t>en</w:t>
      </w:r>
      <w:proofErr w:type="spellEnd"/>
      <w:r>
        <w:rPr>
          <w:rFonts w:ascii="Arial" w:hAnsi="Arial" w:cs="Arial"/>
          <w:color w:val="auto"/>
          <w:sz w:val="20"/>
          <w:szCs w:val="20"/>
        </w:rPr>
        <w:t>-route share</w:t>
      </w:r>
      <w:r w:rsidR="0036192E" w:rsidRPr="00157F86">
        <w:rPr>
          <w:rFonts w:ascii="Arial" w:hAnsi="Arial" w:cs="Arial"/>
          <w:color w:val="auto"/>
          <w:sz w:val="20"/>
          <w:szCs w:val="20"/>
        </w:rPr>
        <w:t xml:space="preserve"> of the approach cost</w:t>
      </w:r>
      <w:r w:rsidR="00D57044">
        <w:rPr>
          <w:rFonts w:ascii="Arial" w:hAnsi="Arial" w:cs="Arial"/>
          <w:color w:val="auto"/>
          <w:sz w:val="20"/>
          <w:szCs w:val="20"/>
        </w:rPr>
        <w:t xml:space="preserve"> at </w:t>
      </w:r>
      <w:proofErr w:type="spellStart"/>
      <w:r w:rsidR="00D57044">
        <w:rPr>
          <w:rFonts w:ascii="Arial" w:hAnsi="Arial" w:cs="Arial"/>
          <w:color w:val="auto"/>
          <w:sz w:val="20"/>
          <w:szCs w:val="20"/>
        </w:rPr>
        <w:t>Kjevik</w:t>
      </w:r>
      <w:proofErr w:type="spellEnd"/>
      <w:r w:rsidR="00D57044">
        <w:rPr>
          <w:rFonts w:ascii="Arial" w:hAnsi="Arial" w:cs="Arial"/>
          <w:color w:val="auto"/>
          <w:sz w:val="20"/>
          <w:szCs w:val="20"/>
        </w:rPr>
        <w:t xml:space="preserve"> is reported separately in</w:t>
      </w:r>
      <w:r>
        <w:rPr>
          <w:rFonts w:ascii="Arial" w:hAnsi="Arial" w:cs="Arial"/>
          <w:color w:val="auto"/>
          <w:sz w:val="20"/>
          <w:szCs w:val="20"/>
        </w:rPr>
        <w:t xml:space="preserve"> the reporting tables</w:t>
      </w:r>
      <w:r w:rsidR="00D57044">
        <w:rPr>
          <w:rFonts w:ascii="Arial" w:hAnsi="Arial" w:cs="Arial"/>
          <w:color w:val="auto"/>
          <w:sz w:val="20"/>
          <w:szCs w:val="20"/>
        </w:rPr>
        <w:t xml:space="preserve"> as </w:t>
      </w:r>
      <w:r>
        <w:rPr>
          <w:rFonts w:ascii="Arial" w:hAnsi="Arial" w:cs="Arial"/>
          <w:color w:val="auto"/>
          <w:sz w:val="20"/>
          <w:szCs w:val="20"/>
        </w:rPr>
        <w:t>“</w:t>
      </w:r>
      <w:r w:rsidR="00D57044">
        <w:rPr>
          <w:rFonts w:ascii="Arial" w:hAnsi="Arial" w:cs="Arial"/>
          <w:color w:val="auto"/>
          <w:sz w:val="20"/>
          <w:szCs w:val="20"/>
        </w:rPr>
        <w:t xml:space="preserve">ANSP </w:t>
      </w:r>
      <w:proofErr w:type="spellStart"/>
      <w:r w:rsidR="00D57044">
        <w:rPr>
          <w:rFonts w:ascii="Arial" w:hAnsi="Arial" w:cs="Arial"/>
          <w:color w:val="auto"/>
          <w:sz w:val="20"/>
          <w:szCs w:val="20"/>
        </w:rPr>
        <w:t>Kje</w:t>
      </w:r>
      <w:proofErr w:type="spellEnd"/>
      <w:r>
        <w:rPr>
          <w:rFonts w:ascii="Arial" w:hAnsi="Arial" w:cs="Arial"/>
          <w:color w:val="auto"/>
          <w:sz w:val="20"/>
          <w:szCs w:val="20"/>
        </w:rPr>
        <w:t>”.</w:t>
      </w:r>
    </w:p>
    <w:p w14:paraId="1E6E9798" w14:textId="77777777" w:rsidR="00765FC8" w:rsidRDefault="00765FC8" w:rsidP="0036192E">
      <w:pPr>
        <w:pStyle w:val="Default"/>
        <w:jc w:val="both"/>
        <w:rPr>
          <w:rFonts w:ascii="Arial" w:hAnsi="Arial" w:cs="Arial"/>
          <w:color w:val="auto"/>
          <w:sz w:val="20"/>
          <w:szCs w:val="20"/>
        </w:rPr>
      </w:pPr>
    </w:p>
    <w:p w14:paraId="09E83147" w14:textId="77777777" w:rsidR="001E4F4B" w:rsidRPr="00CA5B88" w:rsidRDefault="001E4F4B"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2BDD5DE7" w14:textId="77777777" w:rsidTr="002D6CCF">
        <w:tc>
          <w:tcPr>
            <w:tcW w:w="9242" w:type="dxa"/>
            <w:shd w:val="clear" w:color="auto" w:fill="C6D9F1"/>
          </w:tcPr>
          <w:p w14:paraId="2BB72399"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w:t>
            </w:r>
            <w:r>
              <w:rPr>
                <w:rFonts w:ascii="Arial" w:hAnsi="Arial" w:cs="Arial"/>
                <w:b/>
                <w:color w:val="17365D"/>
                <w:sz w:val="20"/>
                <w:szCs w:val="20"/>
              </w:rPr>
              <w:t xml:space="preserve"> D</w:t>
            </w:r>
            <w:r w:rsidRPr="00352E4E">
              <w:rPr>
                <w:rFonts w:ascii="Arial" w:hAnsi="Arial" w:cs="Arial"/>
                <w:b/>
                <w:color w:val="17365D"/>
                <w:sz w:val="20"/>
                <w:szCs w:val="20"/>
              </w:rPr>
              <w:t>escription of the methodology and assumptions used to establish the costs of air navigation services provided to VFR flights, when exemptions are granted for VFR flights in accordance with Article 31(3), 31(4) and 31(5);</w:t>
            </w:r>
          </w:p>
        </w:tc>
      </w:tr>
    </w:tbl>
    <w:p w14:paraId="66683F08" w14:textId="77777777" w:rsidR="00352E4E" w:rsidRDefault="00352E4E" w:rsidP="00352E4E">
      <w:pPr>
        <w:pStyle w:val="Default"/>
        <w:jc w:val="both"/>
        <w:rPr>
          <w:rFonts w:ascii="Arial" w:hAnsi="Arial" w:cs="Arial"/>
          <w:color w:val="17365D"/>
          <w:sz w:val="20"/>
          <w:szCs w:val="20"/>
        </w:rPr>
      </w:pPr>
    </w:p>
    <w:p w14:paraId="64E83C9B" w14:textId="769D11FB" w:rsidR="00090261" w:rsidRDefault="000C7D4E" w:rsidP="00495266">
      <w:pPr>
        <w:pStyle w:val="Fotnotetekst"/>
        <w:jc w:val="both"/>
        <w:rPr>
          <w:rFonts w:ascii="Arial" w:hAnsi="Arial" w:cs="Arial"/>
        </w:rPr>
      </w:pPr>
      <w:r>
        <w:rPr>
          <w:rFonts w:ascii="Arial" w:hAnsi="Arial" w:cs="Arial"/>
        </w:rPr>
        <w:t>The cost of air navigation services provided to VFR flights is estimated based on the share of VFR traffic on total traffic.</w:t>
      </w:r>
    </w:p>
    <w:p w14:paraId="02C7BB41" w14:textId="436763D6" w:rsidR="00090261" w:rsidRDefault="00090261" w:rsidP="00495266">
      <w:pPr>
        <w:pStyle w:val="Fotnotetekst"/>
        <w:jc w:val="both"/>
        <w:rPr>
          <w:rFonts w:ascii="Arial" w:hAnsi="Arial" w:cs="Arial"/>
        </w:rPr>
      </w:pPr>
    </w:p>
    <w:p w14:paraId="706DDD90" w14:textId="07ACC282" w:rsidR="00090261" w:rsidRDefault="007A1410" w:rsidP="00495266">
      <w:pPr>
        <w:pStyle w:val="Fotnotetekst"/>
        <w:jc w:val="both"/>
        <w:rPr>
          <w:rFonts w:ascii="Arial" w:hAnsi="Arial" w:cs="Arial"/>
        </w:rPr>
      </w:pPr>
      <w:r w:rsidRPr="007A1410">
        <w:drawing>
          <wp:inline distT="0" distB="0" distL="0" distR="0" wp14:anchorId="148EB3A8" wp14:editId="0DB005E0">
            <wp:extent cx="5734050" cy="1381125"/>
            <wp:effectExtent l="19050" t="19050" r="19050" b="2857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381125"/>
                    </a:xfrm>
                    <a:prstGeom prst="rect">
                      <a:avLst/>
                    </a:prstGeom>
                    <a:noFill/>
                    <a:ln>
                      <a:solidFill>
                        <a:schemeClr val="accent1"/>
                      </a:solidFill>
                    </a:ln>
                  </pic:spPr>
                </pic:pic>
              </a:graphicData>
            </a:graphic>
          </wp:inline>
        </w:drawing>
      </w:r>
    </w:p>
    <w:p w14:paraId="4A12C690" w14:textId="77777777" w:rsidR="00090261" w:rsidRDefault="00090261" w:rsidP="00495266">
      <w:pPr>
        <w:pStyle w:val="Fotnotetekst"/>
        <w:jc w:val="both"/>
        <w:rPr>
          <w:rFonts w:ascii="Arial" w:hAnsi="Arial" w:cs="Arial"/>
        </w:rPr>
      </w:pPr>
    </w:p>
    <w:p w14:paraId="50100ADE" w14:textId="3C6A0370" w:rsidR="00495266" w:rsidRDefault="000C7D4E" w:rsidP="00495266">
      <w:pPr>
        <w:pStyle w:val="Fotnotetekst"/>
        <w:jc w:val="both"/>
        <w:rPr>
          <w:rFonts w:ascii="Arial" w:hAnsi="Arial" w:cs="Arial"/>
        </w:rPr>
      </w:pP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3E4BE198" w14:textId="77777777" w:rsidTr="00A67C31">
        <w:tc>
          <w:tcPr>
            <w:tcW w:w="9060" w:type="dxa"/>
            <w:shd w:val="clear" w:color="auto" w:fill="C6D9F1"/>
          </w:tcPr>
          <w:p w14:paraId="74D8DAB9"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C</w:t>
            </w:r>
            <w:r w:rsidRPr="00352E4E">
              <w:rPr>
                <w:rFonts w:ascii="Arial" w:hAnsi="Arial" w:cs="Arial"/>
                <w:b/>
                <w:color w:val="17365D"/>
                <w:sz w:val="20"/>
                <w:szCs w:val="20"/>
              </w:rPr>
              <w:t xml:space="preserve">riteria used to allocate costs between terminal and </w:t>
            </w:r>
            <w:proofErr w:type="spellStart"/>
            <w:r w:rsidRPr="00352E4E">
              <w:rPr>
                <w:rFonts w:ascii="Arial" w:hAnsi="Arial" w:cs="Arial"/>
                <w:b/>
                <w:color w:val="17365D"/>
                <w:sz w:val="20"/>
                <w:szCs w:val="20"/>
              </w:rPr>
              <w:t>en</w:t>
            </w:r>
            <w:proofErr w:type="spellEnd"/>
            <w:r w:rsidRPr="00352E4E">
              <w:rPr>
                <w:rFonts w:ascii="Arial" w:hAnsi="Arial" w:cs="Arial"/>
                <w:b/>
                <w:color w:val="17365D"/>
                <w:sz w:val="20"/>
                <w:szCs w:val="20"/>
              </w:rPr>
              <w:t xml:space="preserve"> route services, in accordance with Article 22(5);</w:t>
            </w:r>
          </w:p>
        </w:tc>
      </w:tr>
    </w:tbl>
    <w:p w14:paraId="001A5DC3" w14:textId="17B9A679" w:rsidR="006E53E8" w:rsidRDefault="006E53E8" w:rsidP="006E53E8">
      <w:pPr>
        <w:pStyle w:val="Default"/>
        <w:jc w:val="both"/>
        <w:rPr>
          <w:rFonts w:ascii="Arial" w:hAnsi="Arial" w:cs="Arial"/>
          <w:color w:val="17365D"/>
          <w:sz w:val="20"/>
          <w:szCs w:val="20"/>
        </w:rPr>
      </w:pPr>
    </w:p>
    <w:p w14:paraId="48341BCB" w14:textId="0D92AE86" w:rsidR="00F37A7B" w:rsidRDefault="00F37A7B" w:rsidP="006E53E8">
      <w:pPr>
        <w:pStyle w:val="Default"/>
        <w:jc w:val="both"/>
        <w:rPr>
          <w:rFonts w:ascii="Arial" w:hAnsi="Arial" w:cs="Arial"/>
          <w:b/>
          <w:bCs/>
          <w:color w:val="17365D"/>
          <w:sz w:val="20"/>
          <w:szCs w:val="20"/>
        </w:rPr>
      </w:pPr>
      <w:r w:rsidRPr="00F37A7B">
        <w:rPr>
          <w:rFonts w:ascii="Arial" w:hAnsi="Arial" w:cs="Arial"/>
          <w:b/>
          <w:bCs/>
          <w:color w:val="17365D"/>
          <w:sz w:val="20"/>
          <w:szCs w:val="20"/>
        </w:rPr>
        <w:t>2019 Baseline</w:t>
      </w:r>
      <w:r>
        <w:rPr>
          <w:rFonts w:ascii="Arial" w:hAnsi="Arial" w:cs="Arial"/>
          <w:b/>
          <w:bCs/>
          <w:color w:val="17365D"/>
          <w:sz w:val="20"/>
          <w:szCs w:val="20"/>
        </w:rPr>
        <w:t xml:space="preserve"> adjustments</w:t>
      </w:r>
    </w:p>
    <w:p w14:paraId="7F447AAB" w14:textId="77777777" w:rsidR="002C4F49" w:rsidRDefault="002C4F49" w:rsidP="002C4F49">
      <w:pPr>
        <w:pStyle w:val="Default"/>
        <w:jc w:val="both"/>
        <w:rPr>
          <w:rFonts w:ascii="Arial" w:hAnsi="Arial" w:cs="Arial"/>
          <w:color w:val="auto"/>
          <w:sz w:val="20"/>
          <w:szCs w:val="20"/>
          <w:lang w:val="en-US"/>
        </w:rPr>
      </w:pPr>
      <w:r w:rsidRPr="001170D6">
        <w:rPr>
          <w:noProof/>
        </w:rPr>
        <w:drawing>
          <wp:inline distT="0" distB="0" distL="0" distR="0" wp14:anchorId="5E6543DD" wp14:editId="6DE95963">
            <wp:extent cx="5759450" cy="2146935"/>
            <wp:effectExtent l="19050" t="19050" r="12700" b="24765"/>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146935"/>
                    </a:xfrm>
                    <a:prstGeom prst="rect">
                      <a:avLst/>
                    </a:prstGeom>
                    <a:noFill/>
                    <a:ln w="3175">
                      <a:solidFill>
                        <a:schemeClr val="tx1"/>
                      </a:solidFill>
                    </a:ln>
                  </pic:spPr>
                </pic:pic>
              </a:graphicData>
            </a:graphic>
          </wp:inline>
        </w:drawing>
      </w:r>
    </w:p>
    <w:p w14:paraId="0122FFD1" w14:textId="77777777" w:rsidR="002C4F49" w:rsidRDefault="002C4F49" w:rsidP="002C4F49">
      <w:pPr>
        <w:pStyle w:val="Default"/>
        <w:jc w:val="both"/>
        <w:rPr>
          <w:rFonts w:ascii="Arial" w:hAnsi="Arial" w:cs="Arial"/>
          <w:color w:val="auto"/>
          <w:sz w:val="20"/>
          <w:szCs w:val="20"/>
          <w:lang w:val="en-US"/>
        </w:rPr>
      </w:pPr>
    </w:p>
    <w:p w14:paraId="36BC949F" w14:textId="77777777" w:rsidR="002C4F49" w:rsidRDefault="002C4F49" w:rsidP="002C4F49">
      <w:pPr>
        <w:pStyle w:val="Default"/>
        <w:jc w:val="both"/>
        <w:rPr>
          <w:rFonts w:ascii="Arial" w:hAnsi="Arial" w:cs="Arial"/>
          <w:color w:val="auto"/>
          <w:sz w:val="20"/>
          <w:szCs w:val="20"/>
          <w:lang w:val="en-US"/>
        </w:rPr>
      </w:pPr>
      <w:r w:rsidRPr="0051767D">
        <w:rPr>
          <w:noProof/>
        </w:rPr>
        <w:lastRenderedPageBreak/>
        <w:drawing>
          <wp:inline distT="0" distB="0" distL="0" distR="0" wp14:anchorId="2C171E95" wp14:editId="0DFCF819">
            <wp:extent cx="5759450" cy="753745"/>
            <wp:effectExtent l="19050" t="19050" r="12700" b="27305"/>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753745"/>
                    </a:xfrm>
                    <a:prstGeom prst="rect">
                      <a:avLst/>
                    </a:prstGeom>
                    <a:noFill/>
                    <a:ln w="3175">
                      <a:solidFill>
                        <a:schemeClr val="tx1"/>
                      </a:solidFill>
                    </a:ln>
                  </pic:spPr>
                </pic:pic>
              </a:graphicData>
            </a:graphic>
          </wp:inline>
        </w:drawing>
      </w:r>
    </w:p>
    <w:p w14:paraId="7B9E6B3B" w14:textId="77777777" w:rsidR="002C4F49" w:rsidRDefault="002C4F49" w:rsidP="002C4F49">
      <w:pPr>
        <w:pStyle w:val="Default"/>
        <w:jc w:val="both"/>
        <w:rPr>
          <w:rFonts w:ascii="Arial" w:hAnsi="Arial" w:cs="Arial"/>
          <w:color w:val="auto"/>
          <w:sz w:val="20"/>
          <w:szCs w:val="20"/>
          <w:lang w:val="en-US"/>
        </w:rPr>
      </w:pPr>
    </w:p>
    <w:p w14:paraId="0784A914" w14:textId="77777777" w:rsidR="002C4F49" w:rsidRDefault="002C4F49" w:rsidP="002C4F49">
      <w:pPr>
        <w:pStyle w:val="Default"/>
        <w:jc w:val="both"/>
        <w:rPr>
          <w:rFonts w:ascii="Arial" w:hAnsi="Arial" w:cs="Arial"/>
          <w:color w:val="auto"/>
          <w:sz w:val="20"/>
          <w:szCs w:val="20"/>
          <w:lang w:val="en-US"/>
        </w:rPr>
      </w:pPr>
      <w:r w:rsidRPr="0051767D">
        <w:rPr>
          <w:noProof/>
        </w:rPr>
        <w:drawing>
          <wp:inline distT="0" distB="0" distL="0" distR="0" wp14:anchorId="3CC692E0" wp14:editId="28FD7345">
            <wp:extent cx="5759450" cy="706120"/>
            <wp:effectExtent l="19050" t="19050" r="12700" b="1778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706120"/>
                    </a:xfrm>
                    <a:prstGeom prst="rect">
                      <a:avLst/>
                    </a:prstGeom>
                    <a:noFill/>
                    <a:ln w="3175">
                      <a:solidFill>
                        <a:schemeClr val="tx1"/>
                      </a:solidFill>
                    </a:ln>
                  </pic:spPr>
                </pic:pic>
              </a:graphicData>
            </a:graphic>
          </wp:inline>
        </w:drawing>
      </w:r>
    </w:p>
    <w:p w14:paraId="07571473" w14:textId="27020F6B" w:rsidR="002C4F49" w:rsidRDefault="002C4F49" w:rsidP="002C4F49">
      <w:pPr>
        <w:pStyle w:val="Default"/>
        <w:jc w:val="both"/>
        <w:rPr>
          <w:rFonts w:ascii="Arial" w:hAnsi="Arial" w:cs="Arial"/>
          <w:color w:val="auto"/>
          <w:sz w:val="20"/>
          <w:szCs w:val="20"/>
          <w:lang w:val="en-US"/>
        </w:rPr>
      </w:pPr>
    </w:p>
    <w:p w14:paraId="15164F6B" w14:textId="6402DE58" w:rsidR="002C4F49" w:rsidRPr="002C4F49" w:rsidRDefault="002C4F49" w:rsidP="002C4F49">
      <w:pPr>
        <w:pStyle w:val="Default"/>
        <w:jc w:val="both"/>
        <w:rPr>
          <w:rFonts w:ascii="Arial" w:hAnsi="Arial" w:cs="Arial"/>
          <w:b/>
          <w:bCs/>
          <w:color w:val="auto"/>
          <w:sz w:val="20"/>
          <w:szCs w:val="20"/>
          <w:lang w:val="en-US"/>
        </w:rPr>
      </w:pPr>
      <w:proofErr w:type="spellStart"/>
      <w:r w:rsidRPr="002C4F49">
        <w:rPr>
          <w:rFonts w:ascii="Arial" w:hAnsi="Arial" w:cs="Arial"/>
          <w:b/>
          <w:bCs/>
          <w:color w:val="auto"/>
          <w:sz w:val="20"/>
          <w:szCs w:val="20"/>
          <w:lang w:val="en-US"/>
        </w:rPr>
        <w:t>Avinor</w:t>
      </w:r>
      <w:proofErr w:type="spellEnd"/>
      <w:r w:rsidRPr="002C4F49">
        <w:rPr>
          <w:rFonts w:ascii="Arial" w:hAnsi="Arial" w:cs="Arial"/>
          <w:b/>
          <w:bCs/>
          <w:color w:val="auto"/>
          <w:sz w:val="20"/>
          <w:szCs w:val="20"/>
          <w:lang w:val="en-US"/>
        </w:rPr>
        <w:t xml:space="preserve"> </w:t>
      </w:r>
      <w:proofErr w:type="spellStart"/>
      <w:r w:rsidRPr="002C4F49">
        <w:rPr>
          <w:rFonts w:ascii="Arial" w:hAnsi="Arial" w:cs="Arial"/>
          <w:b/>
          <w:bCs/>
          <w:color w:val="auto"/>
          <w:sz w:val="20"/>
          <w:szCs w:val="20"/>
          <w:lang w:val="en-US"/>
        </w:rPr>
        <w:t>Flysikring</w:t>
      </w:r>
      <w:proofErr w:type="spellEnd"/>
      <w:r w:rsidRPr="002C4F49">
        <w:rPr>
          <w:rFonts w:ascii="Arial" w:hAnsi="Arial" w:cs="Arial"/>
          <w:b/>
          <w:bCs/>
          <w:color w:val="auto"/>
          <w:sz w:val="20"/>
          <w:szCs w:val="20"/>
          <w:lang w:val="en-US"/>
        </w:rPr>
        <w:t xml:space="preserve"> AS (ANS):</w:t>
      </w:r>
    </w:p>
    <w:p w14:paraId="0BA2CAA3" w14:textId="3B79DD74" w:rsidR="002C4F49" w:rsidRDefault="002C4F49" w:rsidP="006E53E8">
      <w:pPr>
        <w:pStyle w:val="Default"/>
        <w:jc w:val="both"/>
        <w:rPr>
          <w:rFonts w:ascii="Arial" w:hAnsi="Arial" w:cs="Arial"/>
          <w:color w:val="17365D"/>
          <w:sz w:val="20"/>
          <w:szCs w:val="20"/>
        </w:rPr>
      </w:pPr>
      <w:r w:rsidRPr="00701F28">
        <w:rPr>
          <w:rFonts w:ascii="Arial" w:hAnsi="Arial" w:cs="Arial"/>
          <w:color w:val="auto"/>
          <w:sz w:val="20"/>
          <w:szCs w:val="20"/>
          <w:lang w:val="en-US"/>
        </w:rPr>
        <w:t>The above change was implemented as from 2020</w:t>
      </w:r>
      <w:r>
        <w:rPr>
          <w:rFonts w:ascii="Arial" w:hAnsi="Arial" w:cs="Arial"/>
          <w:color w:val="auto"/>
          <w:sz w:val="20"/>
          <w:szCs w:val="20"/>
          <w:lang w:val="en-US"/>
        </w:rPr>
        <w:t xml:space="preserve">, </w:t>
      </w:r>
      <w:r w:rsidRPr="001156A3">
        <w:rPr>
          <w:rFonts w:ascii="Arial" w:hAnsi="Arial" w:cs="Arial"/>
          <w:bCs/>
          <w:color w:val="17365D"/>
          <w:sz w:val="20"/>
          <w:szCs w:val="20"/>
        </w:rPr>
        <w:t>methodology</w:t>
      </w:r>
      <w:r w:rsidRPr="001156A3">
        <w:rPr>
          <w:rFonts w:ascii="Arial" w:hAnsi="Arial" w:cs="Arial"/>
          <w:bCs/>
          <w:color w:val="auto"/>
          <w:sz w:val="20"/>
          <w:szCs w:val="20"/>
        </w:rPr>
        <w:t xml:space="preserve"> </w:t>
      </w:r>
      <w:r>
        <w:rPr>
          <w:rFonts w:ascii="Arial" w:hAnsi="Arial" w:cs="Arial"/>
          <w:color w:val="auto"/>
          <w:sz w:val="20"/>
          <w:szCs w:val="20"/>
        </w:rPr>
        <w:t>also described in 1a)</w:t>
      </w:r>
    </w:p>
    <w:p w14:paraId="469B82B2" w14:textId="1113A63E" w:rsidR="00090261" w:rsidRDefault="00090261" w:rsidP="00B66DE4">
      <w:pPr>
        <w:pStyle w:val="Fotnotetekst"/>
        <w:jc w:val="both"/>
        <w:rPr>
          <w:rFonts w:ascii="Arial" w:hAnsi="Arial" w:cs="Arial"/>
        </w:rPr>
      </w:pPr>
    </w:p>
    <w:p w14:paraId="39DD55BE" w14:textId="77777777" w:rsidR="007A5EC2" w:rsidRPr="00B66DE4" w:rsidRDefault="007A5EC2" w:rsidP="00B66DE4">
      <w:pPr>
        <w:pStyle w:val="Fotnotetek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AB6F3B0" w14:textId="77777777" w:rsidTr="00090261">
        <w:tc>
          <w:tcPr>
            <w:tcW w:w="9060" w:type="dxa"/>
            <w:shd w:val="clear" w:color="auto" w:fill="C6D9F1"/>
          </w:tcPr>
          <w:p w14:paraId="1D589774"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d</w:t>
            </w:r>
            <w:r w:rsidRPr="00CA5B88">
              <w:rPr>
                <w:rFonts w:ascii="Arial" w:hAnsi="Arial" w:cs="Arial"/>
                <w:b/>
                <w:color w:val="17365D"/>
                <w:sz w:val="20"/>
                <w:szCs w:val="20"/>
              </w:rPr>
              <w:t xml:space="preserve">) </w:t>
            </w:r>
            <w:r>
              <w:rPr>
                <w:rFonts w:ascii="Arial" w:hAnsi="Arial" w:cs="Arial"/>
                <w:b/>
                <w:color w:val="17365D"/>
                <w:sz w:val="20"/>
                <w:szCs w:val="20"/>
              </w:rPr>
              <w:t>B</w:t>
            </w:r>
            <w:r w:rsidRPr="00352E4E">
              <w:rPr>
                <w:rFonts w:ascii="Arial" w:hAnsi="Arial" w:cs="Arial"/>
                <w:b/>
                <w:color w:val="17365D"/>
                <w:sz w:val="20"/>
                <w:szCs w:val="20"/>
              </w:rPr>
              <w:t>reakdown of the meteorological costs between direct costs and the costs of supporting meteorological facilities and services that also serve meteorological requirements in general (‘MET core costs’). MET core costs include general analysis and forecasting, surface and upper-air observation networks, meteorological communication systems, data processing centres and supporting core research, training and administration;</w:t>
            </w:r>
          </w:p>
        </w:tc>
      </w:tr>
    </w:tbl>
    <w:p w14:paraId="07AF89C6" w14:textId="77777777" w:rsidR="00352E4E" w:rsidRDefault="00352E4E" w:rsidP="00352E4E">
      <w:pPr>
        <w:pStyle w:val="Default"/>
        <w:jc w:val="both"/>
        <w:rPr>
          <w:rFonts w:ascii="Arial" w:hAnsi="Arial" w:cs="Arial"/>
          <w:color w:val="17365D"/>
          <w:sz w:val="20"/>
          <w:szCs w:val="20"/>
        </w:rPr>
      </w:pPr>
    </w:p>
    <w:p w14:paraId="246623D1" w14:textId="76E7C1E8" w:rsidR="0036192E" w:rsidRDefault="0036192E" w:rsidP="0036192E">
      <w:pPr>
        <w:pStyle w:val="Default"/>
        <w:jc w:val="both"/>
        <w:rPr>
          <w:rFonts w:ascii="Arial" w:hAnsi="Arial" w:cs="Arial"/>
          <w:iCs/>
          <w:sz w:val="20"/>
          <w:szCs w:val="20"/>
          <w:lang w:val="en-US"/>
        </w:rPr>
      </w:pPr>
      <w:r w:rsidRPr="00240806">
        <w:rPr>
          <w:rFonts w:ascii="Arial" w:hAnsi="Arial" w:cs="Arial"/>
          <w:iCs/>
          <w:sz w:val="20"/>
          <w:szCs w:val="20"/>
          <w:lang w:val="en-US"/>
        </w:rPr>
        <w:t>The meteorological costs</w:t>
      </w:r>
      <w:r w:rsidRPr="00240806">
        <w:rPr>
          <w:rFonts w:ascii="Arial" w:hAnsi="Arial" w:cs="Arial"/>
          <w:b/>
          <w:color w:val="17365D"/>
          <w:sz w:val="20"/>
          <w:szCs w:val="20"/>
        </w:rPr>
        <w:t xml:space="preserve"> </w:t>
      </w:r>
      <w:r w:rsidRPr="00240806">
        <w:rPr>
          <w:rFonts w:ascii="Arial" w:hAnsi="Arial" w:cs="Arial"/>
          <w:iCs/>
          <w:sz w:val="20"/>
          <w:szCs w:val="20"/>
          <w:lang w:val="en-US"/>
        </w:rPr>
        <w:t xml:space="preserve">are entirely defined as “Other operating costs” as the designated MET provider in Norway operates as a subcontractor to </w:t>
      </w:r>
      <w:proofErr w:type="spellStart"/>
      <w:r w:rsidRPr="00240806">
        <w:rPr>
          <w:rFonts w:ascii="Arial" w:hAnsi="Arial" w:cs="Arial"/>
          <w:iCs/>
          <w:sz w:val="20"/>
          <w:szCs w:val="20"/>
          <w:lang w:val="en-US"/>
        </w:rPr>
        <w:t>Avinor</w:t>
      </w:r>
      <w:proofErr w:type="spellEnd"/>
      <w:r w:rsidRPr="00240806">
        <w:rPr>
          <w:rFonts w:ascii="Arial" w:hAnsi="Arial" w:cs="Arial"/>
          <w:iCs/>
          <w:sz w:val="20"/>
          <w:szCs w:val="20"/>
          <w:lang w:val="en-US"/>
        </w:rPr>
        <w:t xml:space="preserve"> ANS as per </w:t>
      </w:r>
      <w:r w:rsidR="00581F2E">
        <w:rPr>
          <w:rFonts w:ascii="Arial" w:hAnsi="Arial" w:cs="Arial"/>
          <w:iCs/>
          <w:sz w:val="20"/>
          <w:szCs w:val="20"/>
          <w:lang w:val="en-US"/>
        </w:rPr>
        <w:t>now</w:t>
      </w:r>
      <w:r w:rsidRPr="00240806">
        <w:rPr>
          <w:rFonts w:ascii="Arial" w:hAnsi="Arial" w:cs="Arial"/>
          <w:iCs/>
          <w:sz w:val="20"/>
          <w:szCs w:val="20"/>
          <w:lang w:val="en-US"/>
        </w:rPr>
        <w:t>.</w:t>
      </w:r>
    </w:p>
    <w:p w14:paraId="1D658793" w14:textId="77777777" w:rsidR="00A67C31" w:rsidRDefault="00A67C31" w:rsidP="0036192E">
      <w:pPr>
        <w:pStyle w:val="Default"/>
        <w:jc w:val="both"/>
        <w:rPr>
          <w:rFonts w:ascii="Arial" w:hAnsi="Arial" w:cs="Arial"/>
          <w:iCs/>
          <w:sz w:val="20"/>
          <w:szCs w:val="20"/>
          <w:lang w:val="en-US"/>
        </w:rPr>
      </w:pPr>
    </w:p>
    <w:p w14:paraId="5A2B4082" w14:textId="2310E03A" w:rsidR="007740FF" w:rsidRDefault="004A1B7C" w:rsidP="0036192E">
      <w:pPr>
        <w:pStyle w:val="Default"/>
        <w:jc w:val="both"/>
        <w:rPr>
          <w:rFonts w:ascii="Arial" w:hAnsi="Arial" w:cs="Arial"/>
          <w:iCs/>
          <w:sz w:val="20"/>
          <w:szCs w:val="20"/>
          <w:lang w:val="en-US"/>
        </w:rPr>
      </w:pPr>
      <w:r w:rsidRPr="004A1B7C">
        <w:rPr>
          <w:noProof/>
        </w:rPr>
        <w:drawing>
          <wp:inline distT="0" distB="0" distL="0" distR="0" wp14:anchorId="0B40BDFC" wp14:editId="17C49746">
            <wp:extent cx="4278923" cy="939759"/>
            <wp:effectExtent l="0" t="0" r="4445" b="317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8923" cy="939759"/>
                    </a:xfrm>
                    <a:prstGeom prst="rect">
                      <a:avLst/>
                    </a:prstGeom>
                    <a:noFill/>
                    <a:ln>
                      <a:noFill/>
                    </a:ln>
                  </pic:spPr>
                </pic:pic>
              </a:graphicData>
            </a:graphic>
          </wp:inline>
        </w:drawing>
      </w:r>
    </w:p>
    <w:p w14:paraId="5976D8DA" w14:textId="3F69FD7C" w:rsidR="000C39BF" w:rsidRDefault="000C39BF" w:rsidP="0036192E">
      <w:pPr>
        <w:pStyle w:val="Default"/>
        <w:jc w:val="both"/>
        <w:rPr>
          <w:rFonts w:ascii="Arial" w:hAnsi="Arial" w:cs="Arial"/>
          <w:iCs/>
          <w:sz w:val="20"/>
          <w:szCs w:val="20"/>
          <w:lang w:val="en-US"/>
        </w:rPr>
      </w:pPr>
    </w:p>
    <w:p w14:paraId="7AF6EC2D" w14:textId="014D6489" w:rsidR="000C39BF" w:rsidRDefault="000C39BF" w:rsidP="000C39BF">
      <w:pPr>
        <w:pStyle w:val="Default"/>
        <w:jc w:val="both"/>
        <w:rPr>
          <w:rFonts w:ascii="Arial" w:hAnsi="Arial" w:cs="Arial"/>
          <w:sz w:val="20"/>
          <w:szCs w:val="20"/>
        </w:rPr>
      </w:pPr>
      <w:r>
        <w:rPr>
          <w:rFonts w:ascii="Arial" w:hAnsi="Arial" w:cs="Arial"/>
          <w:sz w:val="20"/>
          <w:szCs w:val="20"/>
        </w:rPr>
        <w:t>MET-c</w:t>
      </w:r>
      <w:r w:rsidRPr="00C94241">
        <w:rPr>
          <w:rFonts w:ascii="Arial" w:hAnsi="Arial" w:cs="Arial"/>
          <w:sz w:val="20"/>
          <w:szCs w:val="20"/>
        </w:rPr>
        <w:t xml:space="preserve">osts </w:t>
      </w:r>
      <w:r>
        <w:rPr>
          <w:rFonts w:ascii="Arial" w:hAnsi="Arial" w:cs="Arial"/>
          <w:sz w:val="20"/>
          <w:szCs w:val="20"/>
        </w:rPr>
        <w:t xml:space="preserve">are </w:t>
      </w:r>
      <w:r w:rsidRPr="00C94241">
        <w:rPr>
          <w:rFonts w:ascii="Arial" w:hAnsi="Arial" w:cs="Arial"/>
          <w:sz w:val="20"/>
          <w:szCs w:val="20"/>
        </w:rPr>
        <w:t xml:space="preserve">classified </w:t>
      </w:r>
      <w:r>
        <w:rPr>
          <w:rFonts w:ascii="Arial" w:hAnsi="Arial" w:cs="Arial"/>
          <w:sz w:val="20"/>
          <w:szCs w:val="20"/>
        </w:rPr>
        <w:t xml:space="preserve">in the </w:t>
      </w:r>
      <w:proofErr w:type="spellStart"/>
      <w:r>
        <w:rPr>
          <w:rFonts w:ascii="Arial" w:hAnsi="Arial" w:cs="Arial"/>
          <w:sz w:val="20"/>
          <w:szCs w:val="20"/>
        </w:rPr>
        <w:t>En</w:t>
      </w:r>
      <w:proofErr w:type="spellEnd"/>
      <w:r>
        <w:rPr>
          <w:rFonts w:ascii="Arial" w:hAnsi="Arial" w:cs="Arial"/>
          <w:sz w:val="20"/>
          <w:szCs w:val="20"/>
        </w:rPr>
        <w:t xml:space="preserve">-Route cost base </w:t>
      </w:r>
      <w:r w:rsidRPr="00C94241">
        <w:rPr>
          <w:rFonts w:ascii="Arial" w:hAnsi="Arial" w:cs="Arial"/>
          <w:sz w:val="20"/>
          <w:szCs w:val="20"/>
        </w:rPr>
        <w:t xml:space="preserve">as Staff (86%) and </w:t>
      </w:r>
      <w:r>
        <w:rPr>
          <w:rFonts w:ascii="Arial" w:hAnsi="Arial" w:cs="Arial"/>
          <w:sz w:val="20"/>
          <w:szCs w:val="20"/>
        </w:rPr>
        <w:t>o</w:t>
      </w:r>
      <w:r w:rsidRPr="00C94241">
        <w:rPr>
          <w:rFonts w:ascii="Arial" w:hAnsi="Arial" w:cs="Arial"/>
          <w:sz w:val="20"/>
          <w:szCs w:val="20"/>
        </w:rPr>
        <w:t>ther operating costs (14%) according to feedback from the MET-service provider (The Norwegian Meteorological Institute)</w:t>
      </w:r>
    </w:p>
    <w:p w14:paraId="5972FEA9" w14:textId="7D283481" w:rsidR="007A5EC2" w:rsidRDefault="007A5EC2" w:rsidP="0036192E">
      <w:pPr>
        <w:pStyle w:val="Default"/>
        <w:jc w:val="both"/>
        <w:rPr>
          <w:rFonts w:ascii="Arial" w:hAnsi="Arial" w:cs="Arial"/>
          <w:iCs/>
          <w:sz w:val="20"/>
          <w:szCs w:val="20"/>
          <w:lang w:val="en-US"/>
        </w:rPr>
      </w:pPr>
    </w:p>
    <w:p w14:paraId="0A732BCF" w14:textId="77777777" w:rsidR="000C39BF" w:rsidRDefault="000C39BF" w:rsidP="0036192E">
      <w:pPr>
        <w:pStyle w:val="Default"/>
        <w:jc w:val="both"/>
        <w:rPr>
          <w:rFonts w:ascii="Arial" w:hAnsi="Arial" w:cs="Arial"/>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43345650" w14:textId="77777777" w:rsidTr="00A67C31">
        <w:tc>
          <w:tcPr>
            <w:tcW w:w="9060" w:type="dxa"/>
            <w:shd w:val="clear" w:color="auto" w:fill="C6D9F1"/>
          </w:tcPr>
          <w:p w14:paraId="1D00CFE5"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methodology used for allocating total meteorological costs and MET core costs referred to in point (d) to civil aviation and between charging zones;</w:t>
            </w:r>
          </w:p>
        </w:tc>
      </w:tr>
    </w:tbl>
    <w:p w14:paraId="49E017E6" w14:textId="77777777" w:rsidR="00AA08CC" w:rsidRDefault="00AA08CC" w:rsidP="00AA08CC">
      <w:pPr>
        <w:pStyle w:val="Default"/>
        <w:jc w:val="both"/>
        <w:rPr>
          <w:rFonts w:ascii="Arial" w:hAnsi="Arial" w:cs="Arial"/>
          <w:color w:val="17365D"/>
          <w:sz w:val="20"/>
          <w:szCs w:val="20"/>
        </w:rPr>
      </w:pPr>
    </w:p>
    <w:p w14:paraId="55C6D619" w14:textId="7B6789AB" w:rsidR="0036192E" w:rsidRPr="00240806" w:rsidRDefault="0036192E" w:rsidP="0036192E">
      <w:pPr>
        <w:spacing w:before="0" w:after="0"/>
        <w:rPr>
          <w:rFonts w:ascii="Arial" w:hAnsi="Arial" w:cs="Arial"/>
          <w:spacing w:val="-2"/>
          <w:sz w:val="20"/>
          <w:szCs w:val="20"/>
        </w:rPr>
      </w:pPr>
      <w:r w:rsidRPr="00240806">
        <w:rPr>
          <w:rFonts w:ascii="Arial" w:hAnsi="Arial" w:cs="Arial"/>
          <w:iCs/>
          <w:sz w:val="20"/>
          <w:szCs w:val="20"/>
          <w:lang w:val="en-US"/>
        </w:rPr>
        <w:t>Meteorological costs</w:t>
      </w:r>
      <w:r w:rsidRPr="00240806">
        <w:rPr>
          <w:rFonts w:ascii="Arial" w:hAnsi="Arial" w:cs="Arial"/>
          <w:b/>
          <w:sz w:val="20"/>
          <w:szCs w:val="20"/>
        </w:rPr>
        <w:t xml:space="preserve"> </w:t>
      </w:r>
      <w:r w:rsidRPr="00240806">
        <w:rPr>
          <w:rFonts w:ascii="Arial" w:hAnsi="Arial" w:cs="Arial"/>
          <w:spacing w:val="-2"/>
          <w:sz w:val="20"/>
          <w:szCs w:val="20"/>
        </w:rPr>
        <w:t xml:space="preserve">included in the </w:t>
      </w:r>
      <w:proofErr w:type="spellStart"/>
      <w:r w:rsidRPr="00240806">
        <w:rPr>
          <w:rFonts w:ascii="Arial" w:hAnsi="Arial" w:cs="Arial"/>
          <w:spacing w:val="-2"/>
          <w:sz w:val="20"/>
          <w:szCs w:val="20"/>
        </w:rPr>
        <w:t>en</w:t>
      </w:r>
      <w:proofErr w:type="spellEnd"/>
      <w:r w:rsidRPr="00240806">
        <w:rPr>
          <w:rFonts w:ascii="Arial" w:hAnsi="Arial" w:cs="Arial"/>
          <w:spacing w:val="-2"/>
          <w:sz w:val="20"/>
          <w:szCs w:val="20"/>
        </w:rPr>
        <w:t>-route cost</w:t>
      </w:r>
      <w:r w:rsidR="009746A7">
        <w:rPr>
          <w:rFonts w:ascii="Arial" w:hAnsi="Arial" w:cs="Arial"/>
          <w:spacing w:val="-2"/>
          <w:sz w:val="20"/>
          <w:szCs w:val="20"/>
        </w:rPr>
        <w:t xml:space="preserve"> </w:t>
      </w:r>
      <w:r w:rsidRPr="00240806">
        <w:rPr>
          <w:rFonts w:ascii="Arial" w:hAnsi="Arial" w:cs="Arial"/>
          <w:spacing w:val="-2"/>
          <w:sz w:val="20"/>
          <w:szCs w:val="20"/>
        </w:rPr>
        <w:t xml:space="preserve">base are based on the actual forecast products specified by the met office related to </w:t>
      </w:r>
      <w:proofErr w:type="spellStart"/>
      <w:r w:rsidRPr="00240806">
        <w:rPr>
          <w:rFonts w:ascii="Arial" w:hAnsi="Arial" w:cs="Arial"/>
          <w:spacing w:val="-2"/>
          <w:sz w:val="20"/>
          <w:szCs w:val="20"/>
        </w:rPr>
        <w:t>en</w:t>
      </w:r>
      <w:proofErr w:type="spellEnd"/>
      <w:r w:rsidRPr="00240806">
        <w:rPr>
          <w:rFonts w:ascii="Arial" w:hAnsi="Arial" w:cs="Arial"/>
          <w:spacing w:val="-2"/>
          <w:sz w:val="20"/>
          <w:szCs w:val="20"/>
        </w:rPr>
        <w:t>-route services. Area forecasts, upper-wind forecasts,</w:t>
      </w:r>
      <w:r w:rsidR="00240806" w:rsidRPr="00240806">
        <w:rPr>
          <w:rFonts w:ascii="Arial" w:hAnsi="Arial" w:cs="Arial"/>
          <w:spacing w:val="-2"/>
          <w:sz w:val="20"/>
          <w:szCs w:val="20"/>
        </w:rPr>
        <w:t xml:space="preserve"> </w:t>
      </w:r>
      <w:r w:rsidR="00715794">
        <w:rPr>
          <w:rFonts w:ascii="Arial" w:hAnsi="Arial" w:cs="Arial"/>
          <w:spacing w:val="-2"/>
          <w:sz w:val="20"/>
          <w:szCs w:val="20"/>
        </w:rPr>
        <w:t xml:space="preserve">costs related to volcanic ashes </w:t>
      </w:r>
      <w:r w:rsidRPr="00240806">
        <w:rPr>
          <w:rFonts w:ascii="Arial" w:hAnsi="Arial" w:cs="Arial"/>
          <w:spacing w:val="-2"/>
          <w:sz w:val="20"/>
          <w:szCs w:val="20"/>
        </w:rPr>
        <w:t>etc. A propo</w:t>
      </w:r>
      <w:r w:rsidR="00240806" w:rsidRPr="00240806">
        <w:rPr>
          <w:rFonts w:ascii="Arial" w:hAnsi="Arial" w:cs="Arial"/>
          <w:spacing w:val="-2"/>
          <w:sz w:val="20"/>
          <w:szCs w:val="20"/>
        </w:rPr>
        <w:t>r</w:t>
      </w:r>
      <w:r w:rsidRPr="00240806">
        <w:rPr>
          <w:rFonts w:ascii="Arial" w:hAnsi="Arial" w:cs="Arial"/>
          <w:spacing w:val="-2"/>
          <w:sz w:val="20"/>
          <w:szCs w:val="20"/>
        </w:rPr>
        <w:t xml:space="preserve">tion of the met watch office and briefing services are also allocated to </w:t>
      </w:r>
      <w:proofErr w:type="spellStart"/>
      <w:r w:rsidRPr="00240806">
        <w:rPr>
          <w:rFonts w:ascii="Arial" w:hAnsi="Arial" w:cs="Arial"/>
          <w:spacing w:val="-2"/>
          <w:sz w:val="20"/>
          <w:szCs w:val="20"/>
        </w:rPr>
        <w:t>en</w:t>
      </w:r>
      <w:proofErr w:type="spellEnd"/>
      <w:r w:rsidRPr="00240806">
        <w:rPr>
          <w:rFonts w:ascii="Arial" w:hAnsi="Arial" w:cs="Arial"/>
          <w:spacing w:val="-2"/>
          <w:sz w:val="20"/>
          <w:szCs w:val="20"/>
        </w:rPr>
        <w:t>-route</w:t>
      </w:r>
      <w:r w:rsidR="00240806" w:rsidRPr="00240806">
        <w:rPr>
          <w:rFonts w:ascii="Arial" w:hAnsi="Arial" w:cs="Arial"/>
          <w:spacing w:val="-2"/>
          <w:sz w:val="20"/>
          <w:szCs w:val="20"/>
        </w:rPr>
        <w:t>.</w:t>
      </w:r>
      <w:r w:rsidRPr="00240806">
        <w:rPr>
          <w:rFonts w:ascii="Arial" w:hAnsi="Arial" w:cs="Arial"/>
          <w:spacing w:val="-2"/>
          <w:sz w:val="20"/>
          <w:szCs w:val="20"/>
        </w:rPr>
        <w:t xml:space="preserve"> The met forecasts related to the approach services to an airport operator are divided between the airport operator and the </w:t>
      </w:r>
      <w:proofErr w:type="spellStart"/>
      <w:r w:rsidRPr="00240806">
        <w:rPr>
          <w:rFonts w:ascii="Arial" w:hAnsi="Arial" w:cs="Arial"/>
          <w:spacing w:val="-2"/>
          <w:sz w:val="20"/>
          <w:szCs w:val="20"/>
        </w:rPr>
        <w:t>en</w:t>
      </w:r>
      <w:proofErr w:type="spellEnd"/>
      <w:r w:rsidRPr="00240806">
        <w:rPr>
          <w:rFonts w:ascii="Arial" w:hAnsi="Arial" w:cs="Arial"/>
          <w:spacing w:val="-2"/>
          <w:sz w:val="20"/>
          <w:szCs w:val="20"/>
        </w:rPr>
        <w:t xml:space="preserve">-route services with 80% of the approach cost allocated to </w:t>
      </w:r>
      <w:proofErr w:type="spellStart"/>
      <w:r w:rsidRPr="00240806">
        <w:rPr>
          <w:rFonts w:ascii="Arial" w:hAnsi="Arial" w:cs="Arial"/>
          <w:spacing w:val="-2"/>
          <w:sz w:val="20"/>
          <w:szCs w:val="20"/>
        </w:rPr>
        <w:t>en</w:t>
      </w:r>
      <w:proofErr w:type="spellEnd"/>
      <w:r w:rsidRPr="00240806">
        <w:rPr>
          <w:rFonts w:ascii="Arial" w:hAnsi="Arial" w:cs="Arial"/>
          <w:spacing w:val="-2"/>
          <w:sz w:val="20"/>
          <w:szCs w:val="20"/>
        </w:rPr>
        <w:t xml:space="preserve">-route. </w:t>
      </w:r>
    </w:p>
    <w:p w14:paraId="1C8D0CE0" w14:textId="77777777" w:rsidR="00AA08CC" w:rsidRPr="006E53E8" w:rsidRDefault="00AA08CC" w:rsidP="00AA08CC">
      <w:pPr>
        <w:pStyle w:val="Default"/>
        <w:jc w:val="both"/>
        <w:rPr>
          <w:rFonts w:ascii="Arial" w:hAnsi="Arial" w:cs="Arial"/>
          <w:color w:val="17365D"/>
          <w:sz w:val="20"/>
          <w:szCs w:val="20"/>
          <w:highlight w:val="yellow"/>
        </w:rPr>
      </w:pPr>
    </w:p>
    <w:p w14:paraId="6A33A438" w14:textId="77777777" w:rsidR="00352E4E" w:rsidRPr="00CA5B88" w:rsidRDefault="00352E4E" w:rsidP="00352E4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7D25671D" w14:textId="77777777" w:rsidTr="002D6CCF">
        <w:tc>
          <w:tcPr>
            <w:tcW w:w="9242" w:type="dxa"/>
            <w:shd w:val="clear" w:color="auto" w:fill="C6D9F1"/>
          </w:tcPr>
          <w:p w14:paraId="5A2FF70C"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f</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composition of each item of the determined costs by nature and by service (points 1 and 2 of Table 1), including a description of the main factors explaining the planned variations over the reference period;</w:t>
            </w:r>
          </w:p>
        </w:tc>
      </w:tr>
    </w:tbl>
    <w:p w14:paraId="1EF1C8FC" w14:textId="77777777" w:rsidR="00AA08CC" w:rsidRDefault="00AA08CC" w:rsidP="00AA08CC">
      <w:pPr>
        <w:pStyle w:val="Default"/>
        <w:jc w:val="both"/>
        <w:rPr>
          <w:rFonts w:ascii="Arial" w:hAnsi="Arial" w:cs="Arial"/>
          <w:color w:val="17365D"/>
          <w:sz w:val="20"/>
          <w:szCs w:val="20"/>
        </w:rPr>
      </w:pPr>
    </w:p>
    <w:p w14:paraId="3CB8325B" w14:textId="77777777" w:rsidR="00AA08CC" w:rsidRPr="002778DF" w:rsidRDefault="002778DF" w:rsidP="00352E4E">
      <w:pPr>
        <w:jc w:val="center"/>
        <w:rPr>
          <w:b/>
          <w:i/>
          <w:lang w:eastAsia="de-DE"/>
        </w:rPr>
      </w:pPr>
      <w:r w:rsidRPr="002778DF">
        <w:rPr>
          <w:b/>
          <w:i/>
          <w:lang w:eastAsia="de-DE"/>
        </w:rPr>
        <w:t>Determined costs by nature and by service</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32"/>
      </w:tblGrid>
      <w:tr w:rsidR="002773A2" w:rsidRPr="006C2F02" w14:paraId="57BD0E60" w14:textId="77777777" w:rsidTr="002C4F49">
        <w:trPr>
          <w:trHeight w:val="230"/>
        </w:trPr>
        <w:tc>
          <w:tcPr>
            <w:tcW w:w="9101" w:type="dxa"/>
            <w:gridSpan w:val="2"/>
            <w:shd w:val="clear" w:color="auto" w:fill="auto"/>
          </w:tcPr>
          <w:p w14:paraId="0170997D" w14:textId="3877B3A2" w:rsidR="002773A2" w:rsidRPr="006C2F02" w:rsidRDefault="0080157D" w:rsidP="0080157D">
            <w:pPr>
              <w:pStyle w:val="Default"/>
              <w:jc w:val="center"/>
              <w:rPr>
                <w:b/>
                <w:color w:val="auto"/>
                <w:sz w:val="18"/>
                <w:szCs w:val="18"/>
              </w:rPr>
            </w:pPr>
            <w:r>
              <w:rPr>
                <w:b/>
                <w:color w:val="auto"/>
                <w:sz w:val="18"/>
                <w:szCs w:val="18"/>
              </w:rPr>
              <w:t>Entity</w:t>
            </w:r>
            <w:r w:rsidR="002773A2">
              <w:rPr>
                <w:b/>
                <w:color w:val="auto"/>
                <w:sz w:val="18"/>
                <w:szCs w:val="18"/>
              </w:rPr>
              <w:t xml:space="preserve">: </w:t>
            </w:r>
            <w:proofErr w:type="spellStart"/>
            <w:r w:rsidR="0036192E">
              <w:rPr>
                <w:b/>
                <w:color w:val="auto"/>
                <w:sz w:val="18"/>
                <w:szCs w:val="18"/>
              </w:rPr>
              <w:t>Avinor</w:t>
            </w:r>
            <w:proofErr w:type="spellEnd"/>
            <w:r w:rsidR="0036192E">
              <w:rPr>
                <w:b/>
                <w:color w:val="auto"/>
                <w:sz w:val="18"/>
                <w:szCs w:val="18"/>
              </w:rPr>
              <w:t xml:space="preserve"> Air Navigation Services</w:t>
            </w:r>
            <w:r w:rsidR="002773A2" w:rsidRPr="0098559E">
              <w:rPr>
                <w:b/>
                <w:color w:val="0070C0"/>
                <w:sz w:val="18"/>
                <w:szCs w:val="18"/>
              </w:rPr>
              <w:t xml:space="preserve"> </w:t>
            </w:r>
          </w:p>
        </w:tc>
      </w:tr>
      <w:tr w:rsidR="006C459D" w:rsidRPr="006C2F02" w14:paraId="68FA2542" w14:textId="77777777" w:rsidTr="002C4F49">
        <w:trPr>
          <w:trHeight w:val="210"/>
        </w:trPr>
        <w:tc>
          <w:tcPr>
            <w:tcW w:w="9101" w:type="dxa"/>
            <w:gridSpan w:val="2"/>
            <w:shd w:val="clear" w:color="auto" w:fill="auto"/>
          </w:tcPr>
          <w:p w14:paraId="0ADD5B09" w14:textId="77777777" w:rsidR="006C459D" w:rsidRPr="006C459D" w:rsidRDefault="006C459D" w:rsidP="006C459D">
            <w:pPr>
              <w:spacing w:before="0" w:after="0"/>
              <w:jc w:val="left"/>
              <w:rPr>
                <w:rFonts w:ascii="Calibri" w:hAnsi="Calibri" w:cs="Calibri"/>
                <w:b/>
                <w:bCs/>
                <w:sz w:val="18"/>
                <w:szCs w:val="18"/>
              </w:rPr>
            </w:pPr>
            <w:r>
              <w:rPr>
                <w:rFonts w:ascii="Calibri" w:hAnsi="Calibri" w:cs="Calibri"/>
                <w:b/>
                <w:bCs/>
                <w:sz w:val="18"/>
                <w:szCs w:val="18"/>
              </w:rPr>
              <w:t>1.     Detail by nature (in nominal terms)</w:t>
            </w:r>
          </w:p>
        </w:tc>
      </w:tr>
      <w:tr w:rsidR="0036192E" w:rsidRPr="00B4297C" w14:paraId="3E05C815" w14:textId="77777777" w:rsidTr="002C4F49">
        <w:tc>
          <w:tcPr>
            <w:tcW w:w="2269" w:type="dxa"/>
            <w:shd w:val="clear" w:color="auto" w:fill="auto"/>
          </w:tcPr>
          <w:p w14:paraId="5F744FA2" w14:textId="77777777" w:rsidR="0036192E" w:rsidRPr="00616B17" w:rsidRDefault="0036192E" w:rsidP="0036192E">
            <w:pPr>
              <w:pStyle w:val="Default"/>
              <w:jc w:val="both"/>
              <w:rPr>
                <w:bCs/>
                <w:color w:val="FF0000"/>
                <w:sz w:val="18"/>
                <w:szCs w:val="18"/>
              </w:rPr>
            </w:pPr>
            <w:r w:rsidRPr="00115990">
              <w:rPr>
                <w:bCs/>
                <w:color w:val="auto"/>
                <w:sz w:val="18"/>
                <w:szCs w:val="18"/>
              </w:rPr>
              <w:t>1.1 Staff costs</w:t>
            </w:r>
          </w:p>
        </w:tc>
        <w:tc>
          <w:tcPr>
            <w:tcW w:w="6832" w:type="dxa"/>
            <w:shd w:val="clear" w:color="auto" w:fill="auto"/>
          </w:tcPr>
          <w:p w14:paraId="1C325C63" w14:textId="6D84BE81" w:rsidR="0092670B" w:rsidRPr="0092670B" w:rsidRDefault="0092670B" w:rsidP="0092670B">
            <w:pPr>
              <w:rPr>
                <w:rFonts w:ascii="Calibri" w:eastAsia="Calibri" w:hAnsi="Calibri"/>
                <w:bCs/>
                <w:iCs/>
                <w:sz w:val="18"/>
                <w:szCs w:val="18"/>
                <w:lang w:val="en-US"/>
              </w:rPr>
            </w:pPr>
            <w:r w:rsidRPr="0092670B">
              <w:rPr>
                <w:rFonts w:ascii="Calibri" w:eastAsia="Calibri" w:hAnsi="Calibri"/>
                <w:bCs/>
                <w:iCs/>
                <w:sz w:val="18"/>
                <w:szCs w:val="18"/>
                <w:lang w:val="en-US"/>
              </w:rPr>
              <w:t xml:space="preserve">The pandemic dramatically changed the situation for aviation in Norway </w:t>
            </w:r>
            <w:r w:rsidR="00C205DA">
              <w:rPr>
                <w:rFonts w:ascii="Calibri" w:eastAsia="Calibri" w:hAnsi="Calibri"/>
                <w:bCs/>
                <w:iCs/>
                <w:sz w:val="18"/>
                <w:szCs w:val="18"/>
                <w:lang w:val="en-US"/>
              </w:rPr>
              <w:t>after its outbreak</w:t>
            </w:r>
            <w:r w:rsidRPr="0092670B">
              <w:rPr>
                <w:rFonts w:ascii="Calibri" w:eastAsia="Calibri" w:hAnsi="Calibri"/>
                <w:bCs/>
                <w:iCs/>
                <w:sz w:val="18"/>
                <w:szCs w:val="18"/>
                <w:lang w:val="en-US"/>
              </w:rPr>
              <w:t xml:space="preserve">. Even though traffic levels have been higher in Norway than in many other European </w:t>
            </w:r>
            <w:r w:rsidRPr="0092670B">
              <w:rPr>
                <w:rFonts w:ascii="Calibri" w:eastAsia="Calibri" w:hAnsi="Calibri"/>
                <w:bCs/>
                <w:iCs/>
                <w:sz w:val="18"/>
                <w:szCs w:val="18"/>
                <w:lang w:val="en-US"/>
              </w:rPr>
              <w:lastRenderedPageBreak/>
              <w:t>countries,</w:t>
            </w:r>
            <w:r>
              <w:rPr>
                <w:rFonts w:ascii="Calibri" w:eastAsia="Calibri" w:hAnsi="Calibri"/>
                <w:bCs/>
                <w:iCs/>
                <w:sz w:val="18"/>
                <w:szCs w:val="18"/>
                <w:lang w:val="en-US"/>
              </w:rPr>
              <w:t xml:space="preserve"> </w:t>
            </w:r>
            <w:r w:rsidRPr="0092670B">
              <w:rPr>
                <w:rFonts w:ascii="Calibri" w:eastAsia="Calibri" w:hAnsi="Calibri"/>
                <w:bCs/>
                <w:iCs/>
                <w:sz w:val="18"/>
                <w:szCs w:val="18"/>
                <w:lang w:val="en-US"/>
              </w:rPr>
              <w:t xml:space="preserve">the reduction in 2020 was 42 % for IFR movements and 50 % for </w:t>
            </w:r>
            <w:proofErr w:type="spellStart"/>
            <w:r w:rsidRPr="0092670B">
              <w:rPr>
                <w:rFonts w:ascii="Calibri" w:eastAsia="Calibri" w:hAnsi="Calibri"/>
                <w:bCs/>
                <w:iCs/>
                <w:sz w:val="18"/>
                <w:szCs w:val="18"/>
                <w:lang w:val="en-US"/>
              </w:rPr>
              <w:t>en</w:t>
            </w:r>
            <w:proofErr w:type="spellEnd"/>
            <w:r w:rsidRPr="0092670B">
              <w:rPr>
                <w:rFonts w:ascii="Calibri" w:eastAsia="Calibri" w:hAnsi="Calibri"/>
                <w:bCs/>
                <w:iCs/>
                <w:sz w:val="18"/>
                <w:szCs w:val="18"/>
                <w:lang w:val="en-US"/>
              </w:rPr>
              <w:t xml:space="preserve">-route service units. This was due to the Norwegian dependence on national air traffic, despite the pandemic. Stringent restrictions on international travel have however led to almost an absence of international flights to and from Norway during large parts of 2020 and 2021. </w:t>
            </w:r>
          </w:p>
          <w:p w14:paraId="530F07B9" w14:textId="4E196626" w:rsidR="0092670B" w:rsidRPr="006807C7" w:rsidRDefault="0092670B" w:rsidP="0092670B">
            <w:pPr>
              <w:rPr>
                <w:rFonts w:ascii="Calibri" w:eastAsia="Calibri" w:hAnsi="Calibri"/>
                <w:bCs/>
                <w:iCs/>
                <w:sz w:val="18"/>
                <w:szCs w:val="18"/>
                <w:lang w:val="en-US"/>
              </w:rPr>
            </w:pPr>
            <w:r w:rsidRPr="0092670B">
              <w:rPr>
                <w:rFonts w:ascii="Calibri" w:eastAsia="Calibri" w:hAnsi="Calibri"/>
                <w:bCs/>
                <w:iCs/>
                <w:sz w:val="18"/>
                <w:szCs w:val="18"/>
                <w:lang w:val="en-US"/>
              </w:rPr>
              <w:t xml:space="preserve">Already before the pandemic, </w:t>
            </w:r>
            <w:r w:rsidR="009746A7">
              <w:rPr>
                <w:rFonts w:ascii="Calibri" w:eastAsia="Calibri" w:hAnsi="Calibri"/>
                <w:bCs/>
                <w:iCs/>
                <w:sz w:val="18"/>
                <w:szCs w:val="18"/>
                <w:lang w:val="en-US"/>
              </w:rPr>
              <w:t>during</w:t>
            </w:r>
            <w:r w:rsidR="009746A7" w:rsidRPr="0092670B">
              <w:rPr>
                <w:rFonts w:ascii="Calibri" w:eastAsia="Calibri" w:hAnsi="Calibri"/>
                <w:bCs/>
                <w:iCs/>
                <w:sz w:val="18"/>
                <w:szCs w:val="18"/>
                <w:lang w:val="en-US"/>
              </w:rPr>
              <w:t xml:space="preserve"> </w:t>
            </w:r>
            <w:r w:rsidRPr="0092670B">
              <w:rPr>
                <w:rFonts w:ascii="Calibri" w:eastAsia="Calibri" w:hAnsi="Calibri"/>
                <w:bCs/>
                <w:iCs/>
                <w:sz w:val="18"/>
                <w:szCs w:val="18"/>
                <w:lang w:val="en-US"/>
              </w:rPr>
              <w:t xml:space="preserve">autumn 2019, </w:t>
            </w:r>
            <w:proofErr w:type="spellStart"/>
            <w:r w:rsidRPr="0092670B">
              <w:rPr>
                <w:rFonts w:ascii="Calibri" w:eastAsia="Calibri" w:hAnsi="Calibri"/>
                <w:bCs/>
                <w:iCs/>
                <w:sz w:val="18"/>
                <w:szCs w:val="18"/>
                <w:lang w:val="en-US"/>
              </w:rPr>
              <w:t>Avinor</w:t>
            </w:r>
            <w:proofErr w:type="spellEnd"/>
            <w:r w:rsidRPr="0092670B">
              <w:rPr>
                <w:rFonts w:ascii="Calibri" w:eastAsia="Calibri" w:hAnsi="Calibri"/>
                <w:bCs/>
                <w:iCs/>
                <w:sz w:val="18"/>
                <w:szCs w:val="18"/>
                <w:lang w:val="en-US"/>
              </w:rPr>
              <w:t xml:space="preserve"> ANS had initiated a </w:t>
            </w:r>
            <w:proofErr w:type="spellStart"/>
            <w:r w:rsidRPr="0092670B">
              <w:rPr>
                <w:rFonts w:ascii="Calibri" w:eastAsia="Calibri" w:hAnsi="Calibri"/>
                <w:bCs/>
                <w:iCs/>
                <w:sz w:val="18"/>
                <w:szCs w:val="18"/>
                <w:lang w:val="en-US"/>
              </w:rPr>
              <w:t>reorganisation</w:t>
            </w:r>
            <w:proofErr w:type="spellEnd"/>
            <w:r w:rsidRPr="0092670B">
              <w:rPr>
                <w:rFonts w:ascii="Calibri" w:eastAsia="Calibri" w:hAnsi="Calibri"/>
                <w:bCs/>
                <w:iCs/>
                <w:sz w:val="18"/>
                <w:szCs w:val="18"/>
                <w:lang w:val="en-US"/>
              </w:rPr>
              <w:t xml:space="preserve"> of </w:t>
            </w:r>
            <w:r w:rsidRPr="006807C7">
              <w:rPr>
                <w:rFonts w:ascii="Calibri" w:eastAsia="Calibri" w:hAnsi="Calibri"/>
                <w:bCs/>
                <w:iCs/>
                <w:sz w:val="18"/>
                <w:szCs w:val="18"/>
                <w:lang w:val="en-US"/>
              </w:rPr>
              <w:t xml:space="preserve">administrative units, resulting in a 30 % reduction in administrative and support staff (40 FTEs), with effect from late 2019/early 2020. As a consequence, </w:t>
            </w:r>
            <w:proofErr w:type="spellStart"/>
            <w:r w:rsidRPr="006807C7">
              <w:rPr>
                <w:rFonts w:ascii="Calibri" w:eastAsia="Calibri" w:hAnsi="Calibri"/>
                <w:bCs/>
                <w:iCs/>
                <w:sz w:val="18"/>
                <w:szCs w:val="18"/>
                <w:lang w:val="en-US"/>
              </w:rPr>
              <w:t>Avinor</w:t>
            </w:r>
            <w:proofErr w:type="spellEnd"/>
            <w:r w:rsidRPr="006807C7">
              <w:rPr>
                <w:rFonts w:ascii="Calibri" w:eastAsia="Calibri" w:hAnsi="Calibri"/>
                <w:bCs/>
                <w:iCs/>
                <w:sz w:val="18"/>
                <w:szCs w:val="18"/>
                <w:lang w:val="en-US"/>
              </w:rPr>
              <w:t xml:space="preserve"> ANS entered the new year with a slimmer and more efficient support staff.  </w:t>
            </w:r>
          </w:p>
          <w:p w14:paraId="02A8222C" w14:textId="3F70918D" w:rsidR="0092670B" w:rsidRPr="006807C7" w:rsidRDefault="0092670B" w:rsidP="0092670B">
            <w:pPr>
              <w:rPr>
                <w:rFonts w:ascii="Calibri" w:eastAsia="Calibri" w:hAnsi="Calibri"/>
                <w:bCs/>
                <w:iCs/>
                <w:sz w:val="18"/>
                <w:szCs w:val="18"/>
                <w:lang w:val="en-US"/>
              </w:rPr>
            </w:pPr>
            <w:r w:rsidRPr="006807C7">
              <w:rPr>
                <w:rFonts w:ascii="Calibri" w:eastAsia="Calibri" w:hAnsi="Calibri"/>
                <w:bCs/>
                <w:iCs/>
                <w:sz w:val="18"/>
                <w:szCs w:val="18"/>
                <w:lang w:val="en-US"/>
              </w:rPr>
              <w:t xml:space="preserve">When the pandemic struck the market in spring 2020, </w:t>
            </w:r>
            <w:proofErr w:type="spellStart"/>
            <w:r w:rsidRPr="006807C7">
              <w:rPr>
                <w:rFonts w:ascii="Calibri" w:eastAsia="Calibri" w:hAnsi="Calibri"/>
                <w:bCs/>
                <w:iCs/>
                <w:sz w:val="18"/>
                <w:szCs w:val="18"/>
                <w:lang w:val="en-US"/>
              </w:rPr>
              <w:t>Avinor</w:t>
            </w:r>
            <w:proofErr w:type="spellEnd"/>
            <w:r w:rsidRPr="006807C7">
              <w:rPr>
                <w:rFonts w:ascii="Calibri" w:eastAsia="Calibri" w:hAnsi="Calibri"/>
                <w:bCs/>
                <w:iCs/>
                <w:sz w:val="18"/>
                <w:szCs w:val="18"/>
                <w:lang w:val="en-US"/>
              </w:rPr>
              <w:t xml:space="preserve"> ANS responded to the traffic downturn with a number of furloughs both in operational and support units. The furloughs have been ranging from 10 % to 100 %</w:t>
            </w:r>
            <w:r w:rsidR="009746A7">
              <w:rPr>
                <w:rFonts w:ascii="Calibri" w:eastAsia="Calibri" w:hAnsi="Calibri"/>
                <w:bCs/>
                <w:iCs/>
                <w:sz w:val="18"/>
                <w:szCs w:val="18"/>
                <w:lang w:val="en-US"/>
              </w:rPr>
              <w:t xml:space="preserve"> of staff at the units</w:t>
            </w:r>
            <w:r w:rsidRPr="006807C7">
              <w:rPr>
                <w:rFonts w:ascii="Calibri" w:eastAsia="Calibri" w:hAnsi="Calibri"/>
                <w:bCs/>
                <w:iCs/>
                <w:sz w:val="18"/>
                <w:szCs w:val="18"/>
                <w:lang w:val="en-US"/>
              </w:rPr>
              <w:t xml:space="preserve">, in the operational units mostly 100 %. During the last year </w:t>
            </w:r>
            <w:proofErr w:type="spellStart"/>
            <w:r w:rsidRPr="006807C7">
              <w:rPr>
                <w:rFonts w:ascii="Calibri" w:eastAsia="Calibri" w:hAnsi="Calibri"/>
                <w:bCs/>
                <w:iCs/>
                <w:sz w:val="18"/>
                <w:szCs w:val="18"/>
                <w:lang w:val="en-US"/>
              </w:rPr>
              <w:t>Avinor</w:t>
            </w:r>
            <w:proofErr w:type="spellEnd"/>
            <w:r w:rsidRPr="006807C7">
              <w:rPr>
                <w:rFonts w:ascii="Calibri" w:eastAsia="Calibri" w:hAnsi="Calibri"/>
                <w:bCs/>
                <w:iCs/>
                <w:sz w:val="18"/>
                <w:szCs w:val="18"/>
                <w:lang w:val="en-US"/>
              </w:rPr>
              <w:t xml:space="preserve"> ANS has also entered voluntary redundancy agreements to reduce the number of staff permanently.</w:t>
            </w:r>
          </w:p>
          <w:p w14:paraId="07339CEC" w14:textId="77777777" w:rsidR="0092670B" w:rsidRPr="006807C7" w:rsidRDefault="0092670B" w:rsidP="0092670B">
            <w:pPr>
              <w:rPr>
                <w:rFonts w:ascii="Calibri" w:eastAsia="Calibri" w:hAnsi="Calibri"/>
                <w:bCs/>
                <w:iCs/>
                <w:sz w:val="18"/>
                <w:szCs w:val="18"/>
                <w:lang w:val="en-US"/>
              </w:rPr>
            </w:pPr>
            <w:r w:rsidRPr="006807C7">
              <w:rPr>
                <w:rFonts w:ascii="Calibri" w:eastAsia="Calibri" w:hAnsi="Calibri"/>
                <w:bCs/>
                <w:iCs/>
                <w:sz w:val="18"/>
                <w:szCs w:val="18"/>
                <w:lang w:val="en-US"/>
              </w:rPr>
              <w:t xml:space="preserve">In addition, salaries were reduced for management, and variable cost items, such as overtime, travel and consultancy fees have been considerably reduced as a direct response to traffic and revenue shortfall. ATCO training has been paused until the uncertainty in the traffic forecast is reduced. </w:t>
            </w:r>
          </w:p>
          <w:p w14:paraId="6217C048" w14:textId="7D98C31E" w:rsidR="0092670B" w:rsidRPr="0092670B" w:rsidRDefault="0092670B" w:rsidP="0092670B">
            <w:pPr>
              <w:rPr>
                <w:rFonts w:ascii="Calibri" w:eastAsia="Calibri" w:hAnsi="Calibri"/>
                <w:bCs/>
                <w:iCs/>
                <w:sz w:val="18"/>
                <w:szCs w:val="18"/>
                <w:lang w:val="en-US"/>
              </w:rPr>
            </w:pPr>
            <w:r w:rsidRPr="006807C7">
              <w:rPr>
                <w:rFonts w:ascii="Calibri" w:eastAsia="Calibri" w:hAnsi="Calibri"/>
                <w:bCs/>
                <w:iCs/>
                <w:sz w:val="18"/>
                <w:szCs w:val="18"/>
                <w:lang w:val="en-US"/>
              </w:rPr>
              <w:t xml:space="preserve">The Norwegian government has implemented a number of measures to help businesses hard hit by the pandemic. Norwegian companies’ right to furlough staff was expanded during 2020, through an act passed by the Norwegian </w:t>
            </w:r>
            <w:r w:rsidR="009746A7">
              <w:rPr>
                <w:rFonts w:ascii="Calibri" w:eastAsia="Calibri" w:hAnsi="Calibri"/>
                <w:bCs/>
                <w:iCs/>
                <w:sz w:val="18"/>
                <w:szCs w:val="18"/>
                <w:lang w:val="en-US"/>
              </w:rPr>
              <w:t>g</w:t>
            </w:r>
            <w:r w:rsidRPr="006807C7">
              <w:rPr>
                <w:rFonts w:ascii="Calibri" w:eastAsia="Calibri" w:hAnsi="Calibri"/>
                <w:bCs/>
                <w:iCs/>
                <w:sz w:val="18"/>
                <w:szCs w:val="18"/>
                <w:lang w:val="en-US"/>
              </w:rPr>
              <w:t xml:space="preserve">overnment. This legislation was implemented in order to allow businesses negatively impacted by Covid-19 to adjust cost to revenue shortfalls, and to avoid severe adverse effects on employment. </w:t>
            </w:r>
          </w:p>
          <w:p w14:paraId="472C0C13" w14:textId="188D5633" w:rsidR="0092670B" w:rsidRPr="0092670B" w:rsidRDefault="000A0802" w:rsidP="0092670B">
            <w:pPr>
              <w:rPr>
                <w:rFonts w:ascii="Calibri" w:eastAsia="Calibri" w:hAnsi="Calibri"/>
                <w:bCs/>
                <w:iCs/>
                <w:sz w:val="18"/>
                <w:szCs w:val="18"/>
                <w:lang w:val="en-US"/>
              </w:rPr>
            </w:pPr>
            <w:proofErr w:type="spellStart"/>
            <w:r>
              <w:rPr>
                <w:rFonts w:ascii="Calibri" w:eastAsia="Calibri" w:hAnsi="Calibri"/>
                <w:bCs/>
                <w:iCs/>
                <w:sz w:val="18"/>
                <w:szCs w:val="18"/>
                <w:lang w:val="en-US"/>
              </w:rPr>
              <w:t>Avinor</w:t>
            </w:r>
            <w:proofErr w:type="spellEnd"/>
            <w:r>
              <w:rPr>
                <w:rFonts w:ascii="Calibri" w:eastAsia="Calibri" w:hAnsi="Calibri"/>
                <w:bCs/>
                <w:iCs/>
                <w:sz w:val="18"/>
                <w:szCs w:val="18"/>
                <w:lang w:val="en-US"/>
              </w:rPr>
              <w:t xml:space="preserve"> ANS reports that t</w:t>
            </w:r>
            <w:r w:rsidR="0092670B" w:rsidRPr="0092670B">
              <w:rPr>
                <w:rFonts w:ascii="Calibri" w:eastAsia="Calibri" w:hAnsi="Calibri"/>
                <w:bCs/>
                <w:iCs/>
                <w:sz w:val="18"/>
                <w:szCs w:val="18"/>
                <w:lang w:val="en-US"/>
              </w:rPr>
              <w:t xml:space="preserve">he cost development in the medium and longer term will be driven by the gradual return to normal traffic volumes. A number of cost containment measures are established and followed up through a cost containment </w:t>
            </w:r>
            <w:proofErr w:type="spellStart"/>
            <w:r w:rsidR="0092670B" w:rsidRPr="0092670B">
              <w:rPr>
                <w:rFonts w:ascii="Calibri" w:eastAsia="Calibri" w:hAnsi="Calibri"/>
                <w:bCs/>
                <w:iCs/>
                <w:sz w:val="18"/>
                <w:szCs w:val="18"/>
                <w:lang w:val="en-US"/>
              </w:rPr>
              <w:t>programme</w:t>
            </w:r>
            <w:proofErr w:type="spellEnd"/>
            <w:r w:rsidR="0092670B" w:rsidRPr="0092670B">
              <w:rPr>
                <w:rFonts w:ascii="Calibri" w:eastAsia="Calibri" w:hAnsi="Calibri"/>
                <w:bCs/>
                <w:iCs/>
                <w:sz w:val="18"/>
                <w:szCs w:val="18"/>
                <w:lang w:val="en-US"/>
              </w:rPr>
              <w:t xml:space="preserve">. The traffic situation is continuously monitored and all measures are balanced against the capacity to meet the expected traffic increase in the coming months/years. </w:t>
            </w:r>
          </w:p>
          <w:p w14:paraId="7FD81136" w14:textId="06364DEE" w:rsidR="0092670B" w:rsidRPr="0092670B" w:rsidRDefault="0092670B" w:rsidP="0092670B">
            <w:pPr>
              <w:rPr>
                <w:rFonts w:ascii="Calibri" w:eastAsia="Calibri" w:hAnsi="Calibri"/>
                <w:bCs/>
                <w:iCs/>
                <w:sz w:val="18"/>
                <w:szCs w:val="18"/>
                <w:lang w:val="en-US"/>
              </w:rPr>
            </w:pPr>
            <w:r w:rsidRPr="0092670B">
              <w:rPr>
                <w:rFonts w:ascii="Calibri" w:eastAsia="Calibri" w:hAnsi="Calibri"/>
                <w:bCs/>
                <w:iCs/>
                <w:sz w:val="18"/>
                <w:szCs w:val="18"/>
                <w:lang w:val="en-US"/>
              </w:rPr>
              <w:t>In addition to adjusting cost</w:t>
            </w:r>
            <w:r w:rsidR="00AD63E7">
              <w:rPr>
                <w:rFonts w:ascii="Calibri" w:eastAsia="Calibri" w:hAnsi="Calibri"/>
                <w:bCs/>
                <w:iCs/>
                <w:sz w:val="18"/>
                <w:szCs w:val="18"/>
                <w:lang w:val="en-US"/>
              </w:rPr>
              <w:t>s</w:t>
            </w:r>
            <w:r w:rsidRPr="0092670B">
              <w:rPr>
                <w:rFonts w:ascii="Calibri" w:eastAsia="Calibri" w:hAnsi="Calibri"/>
                <w:bCs/>
                <w:iCs/>
                <w:sz w:val="18"/>
                <w:szCs w:val="18"/>
                <w:lang w:val="en-US"/>
              </w:rPr>
              <w:t xml:space="preserve"> to the traffic shortfall, implementation of the new ATM system is the primary focus for </w:t>
            </w:r>
            <w:proofErr w:type="spellStart"/>
            <w:r w:rsidRPr="0092670B">
              <w:rPr>
                <w:rFonts w:ascii="Calibri" w:eastAsia="Calibri" w:hAnsi="Calibri"/>
                <w:bCs/>
                <w:iCs/>
                <w:sz w:val="18"/>
                <w:szCs w:val="18"/>
                <w:lang w:val="en-US"/>
              </w:rPr>
              <w:t>Avinor</w:t>
            </w:r>
            <w:proofErr w:type="spellEnd"/>
            <w:r w:rsidRPr="0092670B">
              <w:rPr>
                <w:rFonts w:ascii="Calibri" w:eastAsia="Calibri" w:hAnsi="Calibri"/>
                <w:bCs/>
                <w:iCs/>
                <w:sz w:val="18"/>
                <w:szCs w:val="18"/>
                <w:lang w:val="en-US"/>
              </w:rPr>
              <w:t xml:space="preserve"> ANS in RP3, both to be compliant with </w:t>
            </w:r>
            <w:r w:rsidR="00AD63E7">
              <w:rPr>
                <w:rFonts w:ascii="Calibri" w:eastAsia="Calibri" w:hAnsi="Calibri"/>
                <w:bCs/>
                <w:iCs/>
                <w:sz w:val="18"/>
                <w:szCs w:val="18"/>
                <w:lang w:val="en-US"/>
              </w:rPr>
              <w:t>legal</w:t>
            </w:r>
            <w:r w:rsidR="00AD63E7" w:rsidRPr="0092670B">
              <w:rPr>
                <w:rFonts w:ascii="Calibri" w:eastAsia="Calibri" w:hAnsi="Calibri"/>
                <w:bCs/>
                <w:iCs/>
                <w:sz w:val="18"/>
                <w:szCs w:val="18"/>
                <w:lang w:val="en-US"/>
              </w:rPr>
              <w:t xml:space="preserve"> </w:t>
            </w:r>
            <w:r w:rsidRPr="0092670B">
              <w:rPr>
                <w:rFonts w:ascii="Calibri" w:eastAsia="Calibri" w:hAnsi="Calibri"/>
                <w:bCs/>
                <w:iCs/>
                <w:sz w:val="18"/>
                <w:szCs w:val="18"/>
                <w:lang w:val="en-US"/>
              </w:rPr>
              <w:t xml:space="preserve">requirements, but also to enable benefits for the users in the longer run (RP4). The investment project has, with few exceptions, followed the </w:t>
            </w:r>
            <w:r w:rsidR="006A7B26">
              <w:rPr>
                <w:rFonts w:ascii="Calibri" w:eastAsia="Calibri" w:hAnsi="Calibri"/>
                <w:bCs/>
                <w:iCs/>
                <w:sz w:val="18"/>
                <w:szCs w:val="18"/>
                <w:lang w:val="en-US"/>
              </w:rPr>
              <w:t>origin</w:t>
            </w:r>
            <w:r w:rsidR="00715794">
              <w:rPr>
                <w:rFonts w:ascii="Calibri" w:eastAsia="Calibri" w:hAnsi="Calibri"/>
                <w:bCs/>
                <w:iCs/>
                <w:sz w:val="18"/>
                <w:szCs w:val="18"/>
                <w:lang w:val="en-US"/>
              </w:rPr>
              <w:t>a</w:t>
            </w:r>
            <w:r w:rsidR="006A7B26">
              <w:rPr>
                <w:rFonts w:ascii="Calibri" w:eastAsia="Calibri" w:hAnsi="Calibri"/>
                <w:bCs/>
                <w:iCs/>
                <w:sz w:val="18"/>
                <w:szCs w:val="18"/>
                <w:lang w:val="en-US"/>
              </w:rPr>
              <w:t xml:space="preserve">l </w:t>
            </w:r>
            <w:r w:rsidRPr="0092670B">
              <w:rPr>
                <w:rFonts w:ascii="Calibri" w:eastAsia="Calibri" w:hAnsi="Calibri"/>
                <w:bCs/>
                <w:iCs/>
                <w:sz w:val="18"/>
                <w:szCs w:val="18"/>
                <w:lang w:val="en-US"/>
              </w:rPr>
              <w:t xml:space="preserve">plan during the last year. Implementation is still planned by the end of RP3. Training costs on the new ATM-system cannot be </w:t>
            </w:r>
            <w:proofErr w:type="spellStart"/>
            <w:r w:rsidRPr="0092670B">
              <w:rPr>
                <w:rFonts w:ascii="Calibri" w:eastAsia="Calibri" w:hAnsi="Calibri"/>
                <w:bCs/>
                <w:iCs/>
                <w:sz w:val="18"/>
                <w:szCs w:val="18"/>
                <w:lang w:val="en-US"/>
              </w:rPr>
              <w:t>capitalised</w:t>
            </w:r>
            <w:proofErr w:type="spellEnd"/>
            <w:r w:rsidRPr="0092670B">
              <w:rPr>
                <w:rFonts w:ascii="Calibri" w:eastAsia="Calibri" w:hAnsi="Calibri"/>
                <w:bCs/>
                <w:iCs/>
                <w:sz w:val="18"/>
                <w:szCs w:val="18"/>
                <w:lang w:val="en-US"/>
              </w:rPr>
              <w:t xml:space="preserve"> according to accounting practices and will be a driver for staff costs during the last years of RP3. There will also be a period in which two systems (existing and new) will operate simultaneously.  This will also affect the level of staff and operating cost. </w:t>
            </w:r>
          </w:p>
          <w:p w14:paraId="0C1FE0F5" w14:textId="795162D3" w:rsidR="001A199E" w:rsidRPr="0092670B" w:rsidRDefault="001A199E" w:rsidP="004E1215">
            <w:pPr>
              <w:spacing w:line="276" w:lineRule="auto"/>
              <w:rPr>
                <w:rFonts w:ascii="Calibri" w:eastAsia="Calibri" w:hAnsi="Calibri"/>
                <w:bCs/>
                <w:iCs/>
                <w:sz w:val="18"/>
                <w:szCs w:val="18"/>
                <w:lang w:val="en-US"/>
              </w:rPr>
            </w:pPr>
          </w:p>
        </w:tc>
      </w:tr>
      <w:tr w:rsidR="0036192E" w:rsidRPr="00CA2B9B" w14:paraId="50514197" w14:textId="77777777" w:rsidTr="002C4F49">
        <w:tc>
          <w:tcPr>
            <w:tcW w:w="2269" w:type="dxa"/>
            <w:shd w:val="clear" w:color="auto" w:fill="auto"/>
          </w:tcPr>
          <w:p w14:paraId="7ED9A67E" w14:textId="77777777" w:rsidR="0036192E" w:rsidRPr="008F2082" w:rsidRDefault="0036192E" w:rsidP="0036192E">
            <w:pPr>
              <w:pStyle w:val="Default"/>
              <w:jc w:val="both"/>
              <w:rPr>
                <w:bCs/>
                <w:color w:val="auto"/>
                <w:sz w:val="18"/>
                <w:szCs w:val="18"/>
              </w:rPr>
            </w:pPr>
            <w:r w:rsidRPr="004821A1">
              <w:rPr>
                <w:bCs/>
                <w:color w:val="auto"/>
                <w:sz w:val="18"/>
                <w:szCs w:val="18"/>
              </w:rPr>
              <w:lastRenderedPageBreak/>
              <w:t xml:space="preserve">    of which, pension costs</w:t>
            </w:r>
          </w:p>
        </w:tc>
        <w:tc>
          <w:tcPr>
            <w:tcW w:w="6832" w:type="dxa"/>
            <w:shd w:val="clear" w:color="auto" w:fill="auto"/>
          </w:tcPr>
          <w:p w14:paraId="7ED519F1" w14:textId="24C64697" w:rsidR="0036192E" w:rsidRPr="004821A1" w:rsidRDefault="00E8698A" w:rsidP="0036192E">
            <w:pPr>
              <w:pStyle w:val="Default"/>
              <w:rPr>
                <w:bCs/>
                <w:iCs/>
                <w:color w:val="auto"/>
                <w:sz w:val="18"/>
                <w:szCs w:val="18"/>
                <w:lang w:val="en-US"/>
              </w:rPr>
            </w:pPr>
            <w:r w:rsidRPr="004821A1">
              <w:rPr>
                <w:bCs/>
                <w:iCs/>
                <w:color w:val="auto"/>
                <w:sz w:val="18"/>
                <w:szCs w:val="18"/>
                <w:lang w:val="en-US"/>
              </w:rPr>
              <w:t>No material changes in pension cost is expected during RP3</w:t>
            </w:r>
            <w:r w:rsidR="00FE0105" w:rsidRPr="004821A1">
              <w:rPr>
                <w:bCs/>
                <w:iCs/>
                <w:color w:val="auto"/>
                <w:sz w:val="18"/>
                <w:szCs w:val="18"/>
                <w:lang w:val="en-US"/>
              </w:rPr>
              <w:t xml:space="preserve">, but </w:t>
            </w:r>
            <w:r w:rsidR="00665442" w:rsidRPr="004821A1">
              <w:rPr>
                <w:bCs/>
                <w:iCs/>
                <w:color w:val="auto"/>
                <w:sz w:val="18"/>
                <w:szCs w:val="18"/>
                <w:lang w:val="en-US"/>
              </w:rPr>
              <w:t xml:space="preserve">it is </w:t>
            </w:r>
            <w:r w:rsidR="00FE0105" w:rsidRPr="004821A1">
              <w:rPr>
                <w:bCs/>
                <w:iCs/>
                <w:color w:val="auto"/>
                <w:sz w:val="18"/>
                <w:szCs w:val="18"/>
                <w:lang w:val="en-US"/>
              </w:rPr>
              <w:t xml:space="preserve">variable to changes in underlying assumptions for the defined benefit plan. </w:t>
            </w:r>
            <w:proofErr w:type="spellStart"/>
            <w:r w:rsidR="000F3419" w:rsidRPr="004821A1">
              <w:rPr>
                <w:bCs/>
                <w:iCs/>
                <w:color w:val="auto"/>
                <w:sz w:val="18"/>
                <w:szCs w:val="18"/>
                <w:lang w:val="en-US"/>
              </w:rPr>
              <w:t>Avinor</w:t>
            </w:r>
            <w:proofErr w:type="spellEnd"/>
            <w:r w:rsidR="000F3419" w:rsidRPr="004821A1">
              <w:rPr>
                <w:bCs/>
                <w:iCs/>
                <w:color w:val="auto"/>
                <w:sz w:val="18"/>
                <w:szCs w:val="18"/>
                <w:lang w:val="en-US"/>
              </w:rPr>
              <w:t xml:space="preserve"> ANS has both a defined benefit plan and a defined contribution plan, of which the first </w:t>
            </w:r>
            <w:r w:rsidR="000F3419" w:rsidRPr="00101A01">
              <w:rPr>
                <w:bCs/>
                <w:iCs/>
                <w:color w:val="auto"/>
                <w:sz w:val="18"/>
                <w:szCs w:val="18"/>
                <w:lang w:val="en-US"/>
              </w:rPr>
              <w:t>mention</w:t>
            </w:r>
            <w:r w:rsidR="000F3419" w:rsidRPr="004821A1">
              <w:rPr>
                <w:bCs/>
                <w:iCs/>
                <w:color w:val="auto"/>
                <w:sz w:val="18"/>
                <w:szCs w:val="18"/>
                <w:lang w:val="en-US"/>
              </w:rPr>
              <w:t xml:space="preserve">ed was closed for new members 1.1.2019. </w:t>
            </w:r>
            <w:r w:rsidR="007A35E6" w:rsidRPr="004821A1">
              <w:rPr>
                <w:bCs/>
                <w:iCs/>
                <w:color w:val="auto"/>
                <w:sz w:val="18"/>
                <w:szCs w:val="18"/>
                <w:lang w:val="en-US"/>
              </w:rPr>
              <w:t xml:space="preserve">The new </w:t>
            </w:r>
            <w:r w:rsidR="00665442" w:rsidRPr="004821A1">
              <w:rPr>
                <w:bCs/>
                <w:iCs/>
                <w:color w:val="auto"/>
                <w:sz w:val="18"/>
                <w:szCs w:val="18"/>
                <w:lang w:val="en-US"/>
              </w:rPr>
              <w:t xml:space="preserve">scheme </w:t>
            </w:r>
            <w:r w:rsidR="007A35E6" w:rsidRPr="004821A1">
              <w:rPr>
                <w:bCs/>
                <w:iCs/>
                <w:color w:val="auto"/>
                <w:sz w:val="18"/>
                <w:szCs w:val="18"/>
                <w:lang w:val="en-US"/>
              </w:rPr>
              <w:t>is expected to be more predictable</w:t>
            </w:r>
            <w:r w:rsidR="00665442" w:rsidRPr="004821A1">
              <w:rPr>
                <w:bCs/>
                <w:iCs/>
                <w:color w:val="auto"/>
                <w:sz w:val="18"/>
                <w:szCs w:val="18"/>
                <w:lang w:val="en-US"/>
              </w:rPr>
              <w:t xml:space="preserve"> with regards to cost</w:t>
            </w:r>
            <w:r w:rsidR="007A35E6" w:rsidRPr="004821A1">
              <w:rPr>
                <w:bCs/>
                <w:iCs/>
                <w:color w:val="auto"/>
                <w:sz w:val="18"/>
                <w:szCs w:val="18"/>
                <w:lang w:val="en-US"/>
              </w:rPr>
              <w:t xml:space="preserve"> in the longer </w:t>
            </w:r>
            <w:r w:rsidR="00665442" w:rsidRPr="004821A1">
              <w:rPr>
                <w:bCs/>
                <w:iCs/>
                <w:color w:val="auto"/>
                <w:sz w:val="18"/>
                <w:szCs w:val="18"/>
                <w:lang w:val="en-US"/>
              </w:rPr>
              <w:t>run</w:t>
            </w:r>
            <w:r w:rsidR="007A35E6" w:rsidRPr="004821A1">
              <w:rPr>
                <w:bCs/>
                <w:iCs/>
                <w:color w:val="auto"/>
                <w:sz w:val="18"/>
                <w:szCs w:val="18"/>
                <w:lang w:val="en-US"/>
              </w:rPr>
              <w:t xml:space="preserve">, as a </w:t>
            </w:r>
            <w:r w:rsidR="00665442" w:rsidRPr="004821A1">
              <w:rPr>
                <w:bCs/>
                <w:iCs/>
                <w:color w:val="auto"/>
                <w:sz w:val="18"/>
                <w:szCs w:val="18"/>
                <w:lang w:val="en-US"/>
              </w:rPr>
              <w:t xml:space="preserve">gradually </w:t>
            </w:r>
            <w:r w:rsidR="007A35E6" w:rsidRPr="004821A1">
              <w:rPr>
                <w:bCs/>
                <w:iCs/>
                <w:color w:val="auto"/>
                <w:sz w:val="18"/>
                <w:szCs w:val="18"/>
                <w:lang w:val="en-US"/>
              </w:rPr>
              <w:t xml:space="preserve">larger share of personnel are members of the defined contribution scheme. </w:t>
            </w:r>
          </w:p>
        </w:tc>
      </w:tr>
      <w:tr w:rsidR="0036192E" w:rsidRPr="00CF51B5" w14:paraId="33C97369" w14:textId="77777777" w:rsidTr="002C4F49">
        <w:tc>
          <w:tcPr>
            <w:tcW w:w="2269" w:type="dxa"/>
            <w:shd w:val="clear" w:color="auto" w:fill="auto"/>
          </w:tcPr>
          <w:p w14:paraId="584E0E41" w14:textId="77777777" w:rsidR="0036192E" w:rsidRPr="009A19BC" w:rsidRDefault="0036192E" w:rsidP="0036192E">
            <w:pPr>
              <w:pStyle w:val="Default"/>
              <w:jc w:val="both"/>
              <w:rPr>
                <w:bCs/>
                <w:color w:val="auto"/>
                <w:sz w:val="18"/>
                <w:szCs w:val="18"/>
              </w:rPr>
            </w:pPr>
            <w:r w:rsidRPr="009A19BC">
              <w:rPr>
                <w:bCs/>
                <w:color w:val="auto"/>
                <w:sz w:val="18"/>
                <w:szCs w:val="18"/>
              </w:rPr>
              <w:t>1.2 Other operating costs</w:t>
            </w:r>
          </w:p>
        </w:tc>
        <w:tc>
          <w:tcPr>
            <w:tcW w:w="6832" w:type="dxa"/>
            <w:shd w:val="clear" w:color="auto" w:fill="auto"/>
          </w:tcPr>
          <w:p w14:paraId="496A2F21" w14:textId="411B48BD" w:rsidR="00956A78" w:rsidRPr="00104D79" w:rsidRDefault="00956A78" w:rsidP="0036192E">
            <w:pPr>
              <w:pStyle w:val="Default"/>
              <w:rPr>
                <w:rFonts w:cs="Arial"/>
                <w:color w:val="auto"/>
                <w:sz w:val="18"/>
                <w:szCs w:val="18"/>
              </w:rPr>
            </w:pPr>
            <w:r w:rsidRPr="00104D79">
              <w:rPr>
                <w:rFonts w:cs="Arial"/>
                <w:color w:val="auto"/>
                <w:sz w:val="18"/>
                <w:szCs w:val="18"/>
              </w:rPr>
              <w:t xml:space="preserve">Please see 1.1. </w:t>
            </w:r>
          </w:p>
          <w:p w14:paraId="4585A9A2" w14:textId="4ED93E0C" w:rsidR="0036192E" w:rsidRPr="005D74F5" w:rsidRDefault="0036192E" w:rsidP="0036192E">
            <w:pPr>
              <w:pStyle w:val="Default"/>
              <w:rPr>
                <w:bCs/>
                <w:iCs/>
                <w:color w:val="auto"/>
                <w:sz w:val="18"/>
                <w:szCs w:val="18"/>
                <w:lang w:val="nb-NO"/>
              </w:rPr>
            </w:pPr>
          </w:p>
        </w:tc>
      </w:tr>
      <w:tr w:rsidR="0036192E" w:rsidRPr="009D72C7" w14:paraId="21B5AE96" w14:textId="77777777" w:rsidTr="002C4F49">
        <w:tc>
          <w:tcPr>
            <w:tcW w:w="2269" w:type="dxa"/>
            <w:shd w:val="clear" w:color="auto" w:fill="auto"/>
          </w:tcPr>
          <w:p w14:paraId="525D4887" w14:textId="77777777" w:rsidR="0036192E" w:rsidRPr="00E60CD7" w:rsidRDefault="0036192E" w:rsidP="0036192E">
            <w:pPr>
              <w:pStyle w:val="Default"/>
              <w:jc w:val="both"/>
              <w:rPr>
                <w:bCs/>
                <w:color w:val="auto"/>
                <w:sz w:val="18"/>
                <w:szCs w:val="18"/>
                <w:lang w:val="en-US"/>
              </w:rPr>
            </w:pPr>
            <w:r w:rsidRPr="00E60CD7">
              <w:rPr>
                <w:bCs/>
                <w:color w:val="auto"/>
                <w:sz w:val="18"/>
                <w:szCs w:val="18"/>
                <w:lang w:val="en-US"/>
              </w:rPr>
              <w:t>1.3 Depreciation</w:t>
            </w:r>
          </w:p>
        </w:tc>
        <w:tc>
          <w:tcPr>
            <w:tcW w:w="6832" w:type="dxa"/>
            <w:shd w:val="clear" w:color="auto" w:fill="auto"/>
          </w:tcPr>
          <w:p w14:paraId="22F7CC1B" w14:textId="117124DE" w:rsidR="0036192E" w:rsidRPr="00104D79" w:rsidRDefault="0036192E" w:rsidP="0036192E">
            <w:pPr>
              <w:pStyle w:val="Default"/>
              <w:jc w:val="both"/>
              <w:rPr>
                <w:rFonts w:cs="Arial"/>
                <w:color w:val="auto"/>
                <w:sz w:val="18"/>
                <w:szCs w:val="18"/>
              </w:rPr>
            </w:pPr>
            <w:r w:rsidRPr="00104D79">
              <w:rPr>
                <w:bCs/>
                <w:iCs/>
                <w:color w:val="auto"/>
                <w:sz w:val="18"/>
                <w:szCs w:val="18"/>
                <w:lang w:val="en-US"/>
              </w:rPr>
              <w:t xml:space="preserve">Depreciations relate to the total fixed assets in operation of </w:t>
            </w:r>
            <w:r w:rsidR="00AD63E7">
              <w:rPr>
                <w:bCs/>
                <w:iCs/>
                <w:color w:val="auto"/>
                <w:sz w:val="18"/>
                <w:szCs w:val="18"/>
                <w:lang w:val="en-US"/>
              </w:rPr>
              <w:t>e</w:t>
            </w:r>
            <w:r w:rsidRPr="00104D79">
              <w:rPr>
                <w:rFonts w:cs="Arial"/>
                <w:color w:val="auto"/>
                <w:sz w:val="18"/>
                <w:szCs w:val="18"/>
              </w:rPr>
              <w:t>n-</w:t>
            </w:r>
            <w:r w:rsidR="00AD63E7">
              <w:rPr>
                <w:rFonts w:cs="Arial"/>
                <w:color w:val="auto"/>
                <w:sz w:val="18"/>
                <w:szCs w:val="18"/>
              </w:rPr>
              <w:t>r</w:t>
            </w:r>
            <w:r w:rsidRPr="00104D79">
              <w:rPr>
                <w:rFonts w:cs="Arial"/>
                <w:color w:val="auto"/>
                <w:sz w:val="18"/>
                <w:szCs w:val="18"/>
              </w:rPr>
              <w:t xml:space="preserve">oute services. </w:t>
            </w:r>
          </w:p>
          <w:p w14:paraId="175DE9C0" w14:textId="2BAD3616" w:rsidR="0036192E" w:rsidRPr="00104D79" w:rsidRDefault="0036192E" w:rsidP="0036192E">
            <w:pPr>
              <w:pStyle w:val="Default"/>
              <w:jc w:val="both"/>
              <w:rPr>
                <w:rFonts w:cs="Arial"/>
                <w:color w:val="auto"/>
                <w:sz w:val="18"/>
                <w:szCs w:val="18"/>
              </w:rPr>
            </w:pPr>
            <w:r w:rsidRPr="00104D79">
              <w:rPr>
                <w:rFonts w:cs="Arial"/>
                <w:color w:val="auto"/>
                <w:sz w:val="18"/>
                <w:szCs w:val="18"/>
              </w:rPr>
              <w:t xml:space="preserve">Capital expenditure has increased in RP2 and will increase further in RP3. This gives an </w:t>
            </w:r>
            <w:r w:rsidR="008E22D3">
              <w:rPr>
                <w:rFonts w:cs="Arial"/>
                <w:color w:val="auto"/>
                <w:sz w:val="18"/>
                <w:szCs w:val="18"/>
              </w:rPr>
              <w:t>impact</w:t>
            </w:r>
            <w:r w:rsidRPr="00104D79">
              <w:rPr>
                <w:rFonts w:cs="Arial"/>
                <w:color w:val="auto"/>
                <w:sz w:val="18"/>
                <w:szCs w:val="18"/>
              </w:rPr>
              <w:t xml:space="preserve"> on depreciations and cost of capital during RP3, especially as a consequence of</w:t>
            </w:r>
            <w:r w:rsidR="008C1EAF" w:rsidRPr="00104D79">
              <w:rPr>
                <w:rFonts w:cs="Arial"/>
                <w:color w:val="auto"/>
                <w:sz w:val="18"/>
                <w:szCs w:val="18"/>
              </w:rPr>
              <w:t xml:space="preserve"> t</w:t>
            </w:r>
            <w:r w:rsidRPr="00104D79">
              <w:rPr>
                <w:rFonts w:cs="Arial"/>
                <w:color w:val="auto"/>
                <w:sz w:val="18"/>
                <w:szCs w:val="18"/>
              </w:rPr>
              <w:t>wo investment</w:t>
            </w:r>
            <w:r w:rsidR="008C1EAF" w:rsidRPr="00104D79">
              <w:rPr>
                <w:rFonts w:cs="Arial"/>
                <w:color w:val="auto"/>
                <w:sz w:val="18"/>
                <w:szCs w:val="18"/>
              </w:rPr>
              <w:t xml:space="preserve"> </w:t>
            </w:r>
            <w:r w:rsidRPr="00104D79">
              <w:rPr>
                <w:rFonts w:cs="Arial"/>
                <w:color w:val="auto"/>
                <w:sz w:val="18"/>
                <w:szCs w:val="18"/>
              </w:rPr>
              <w:t>projects</w:t>
            </w:r>
            <w:r w:rsidR="00101A01">
              <w:rPr>
                <w:rFonts w:cs="Arial"/>
                <w:color w:val="auto"/>
                <w:sz w:val="18"/>
                <w:szCs w:val="18"/>
              </w:rPr>
              <w:t>,</w:t>
            </w:r>
            <w:r w:rsidRPr="00104D79">
              <w:rPr>
                <w:rFonts w:cs="Arial"/>
                <w:color w:val="auto"/>
                <w:sz w:val="18"/>
                <w:szCs w:val="18"/>
              </w:rPr>
              <w:t xml:space="preserve"> NORWAM phase 2 in 2022 and planned completion of Future ATM System in 2024.</w:t>
            </w:r>
          </w:p>
          <w:p w14:paraId="08DD183C" w14:textId="77777777" w:rsidR="0036192E" w:rsidRPr="00104D79" w:rsidRDefault="0036192E" w:rsidP="0036192E">
            <w:pPr>
              <w:pStyle w:val="Default"/>
              <w:jc w:val="both"/>
              <w:rPr>
                <w:rFonts w:cs="Arial"/>
                <w:color w:val="auto"/>
                <w:sz w:val="18"/>
                <w:szCs w:val="18"/>
              </w:rPr>
            </w:pPr>
          </w:p>
          <w:p w14:paraId="5FB44486" w14:textId="74C31116" w:rsidR="0036192E" w:rsidRPr="00104D79" w:rsidRDefault="0094444E" w:rsidP="0036192E">
            <w:pPr>
              <w:pStyle w:val="Default"/>
              <w:jc w:val="both"/>
              <w:rPr>
                <w:bCs/>
                <w:iCs/>
                <w:color w:val="auto"/>
                <w:sz w:val="18"/>
                <w:szCs w:val="18"/>
                <w:lang w:val="en-US"/>
              </w:rPr>
            </w:pPr>
            <w:r>
              <w:rPr>
                <w:rFonts w:cs="Arial"/>
                <w:color w:val="auto"/>
                <w:sz w:val="18"/>
                <w:szCs w:val="18"/>
              </w:rPr>
              <w:t>Please also see 1.1.</w:t>
            </w:r>
          </w:p>
        </w:tc>
      </w:tr>
      <w:tr w:rsidR="0036192E" w:rsidRPr="00425B26" w14:paraId="284EC0D8" w14:textId="77777777" w:rsidTr="002C4F49">
        <w:tc>
          <w:tcPr>
            <w:tcW w:w="2269" w:type="dxa"/>
            <w:shd w:val="clear" w:color="auto" w:fill="auto"/>
          </w:tcPr>
          <w:p w14:paraId="51F7652A" w14:textId="77777777" w:rsidR="0036192E" w:rsidRPr="006807C7" w:rsidRDefault="0036192E" w:rsidP="0036192E">
            <w:pPr>
              <w:pStyle w:val="Default"/>
              <w:jc w:val="both"/>
              <w:rPr>
                <w:bCs/>
                <w:color w:val="auto"/>
                <w:sz w:val="18"/>
                <w:szCs w:val="18"/>
              </w:rPr>
            </w:pPr>
            <w:r w:rsidRPr="006807C7">
              <w:rPr>
                <w:bCs/>
                <w:color w:val="auto"/>
                <w:sz w:val="18"/>
                <w:szCs w:val="18"/>
              </w:rPr>
              <w:t>1.4 Cost of capital</w:t>
            </w:r>
          </w:p>
        </w:tc>
        <w:tc>
          <w:tcPr>
            <w:tcW w:w="6832" w:type="dxa"/>
            <w:shd w:val="clear" w:color="auto" w:fill="auto"/>
          </w:tcPr>
          <w:p w14:paraId="619F4768" w14:textId="627F7EFC" w:rsidR="0036192E" w:rsidRPr="006807C7" w:rsidRDefault="0036192E" w:rsidP="0036192E">
            <w:pPr>
              <w:pStyle w:val="Default"/>
              <w:jc w:val="both"/>
              <w:rPr>
                <w:rFonts w:cs="Arial"/>
                <w:color w:val="auto"/>
                <w:sz w:val="18"/>
                <w:szCs w:val="18"/>
              </w:rPr>
            </w:pPr>
            <w:r w:rsidRPr="006807C7">
              <w:rPr>
                <w:rFonts w:cs="Arial"/>
                <w:color w:val="auto"/>
                <w:sz w:val="18"/>
                <w:szCs w:val="18"/>
              </w:rPr>
              <w:t xml:space="preserve">Cost of capital on assets used for </w:t>
            </w:r>
            <w:proofErr w:type="spellStart"/>
            <w:r w:rsidR="00AD63E7">
              <w:rPr>
                <w:rFonts w:cs="Arial"/>
                <w:color w:val="auto"/>
                <w:sz w:val="18"/>
                <w:szCs w:val="18"/>
              </w:rPr>
              <w:t>e</w:t>
            </w:r>
            <w:r w:rsidRPr="006807C7">
              <w:rPr>
                <w:rFonts w:cs="Arial"/>
                <w:color w:val="auto"/>
                <w:sz w:val="18"/>
                <w:szCs w:val="18"/>
              </w:rPr>
              <w:t>n</w:t>
            </w:r>
            <w:proofErr w:type="spellEnd"/>
            <w:r w:rsidRPr="006807C7">
              <w:rPr>
                <w:rFonts w:cs="Arial"/>
                <w:color w:val="auto"/>
                <w:sz w:val="18"/>
                <w:szCs w:val="18"/>
              </w:rPr>
              <w:t>-</w:t>
            </w:r>
            <w:r w:rsidR="00AD63E7">
              <w:rPr>
                <w:rFonts w:cs="Arial"/>
                <w:color w:val="auto"/>
                <w:sz w:val="18"/>
                <w:szCs w:val="18"/>
              </w:rPr>
              <w:t>r</w:t>
            </w:r>
            <w:r w:rsidRPr="006807C7">
              <w:rPr>
                <w:rFonts w:cs="Arial"/>
                <w:color w:val="auto"/>
                <w:sz w:val="18"/>
                <w:szCs w:val="18"/>
              </w:rPr>
              <w:t>oute services.</w:t>
            </w:r>
          </w:p>
          <w:p w14:paraId="3683464F" w14:textId="77777777" w:rsidR="0036192E" w:rsidRPr="006807C7" w:rsidRDefault="0036192E" w:rsidP="0036192E">
            <w:pPr>
              <w:pStyle w:val="Default"/>
              <w:jc w:val="both"/>
              <w:rPr>
                <w:rFonts w:cs="Arial"/>
                <w:color w:val="auto"/>
                <w:sz w:val="18"/>
                <w:szCs w:val="18"/>
              </w:rPr>
            </w:pPr>
          </w:p>
          <w:p w14:paraId="1AF0F0B3" w14:textId="3C81C5C7" w:rsidR="0036192E" w:rsidRPr="006807C7" w:rsidRDefault="00B0507A" w:rsidP="0036192E">
            <w:pPr>
              <w:pStyle w:val="Default"/>
              <w:jc w:val="both"/>
              <w:rPr>
                <w:bCs/>
                <w:iCs/>
                <w:color w:val="auto"/>
                <w:sz w:val="18"/>
                <w:szCs w:val="18"/>
                <w:lang w:val="en-US"/>
              </w:rPr>
            </w:pPr>
            <w:r w:rsidRPr="006807C7">
              <w:rPr>
                <w:bCs/>
                <w:iCs/>
                <w:color w:val="auto"/>
                <w:sz w:val="18"/>
                <w:szCs w:val="18"/>
                <w:lang w:val="en-US"/>
              </w:rPr>
              <w:t>The WACC for RP3 is 5,85 %. This is based on an analysis performed by the external financial consultants (Oslo Economics) in 2019. For further details, please see</w:t>
            </w:r>
            <w:r w:rsidR="0094444E" w:rsidRPr="006807C7">
              <w:rPr>
                <w:bCs/>
                <w:iCs/>
                <w:color w:val="auto"/>
                <w:sz w:val="18"/>
                <w:szCs w:val="18"/>
                <w:lang w:val="en-US"/>
              </w:rPr>
              <w:t xml:space="preserve"> table under 1 </w:t>
            </w:r>
            <w:proofErr w:type="spellStart"/>
            <w:r w:rsidR="0094444E" w:rsidRPr="006807C7">
              <w:rPr>
                <w:bCs/>
                <w:iCs/>
                <w:color w:val="auto"/>
                <w:sz w:val="18"/>
                <w:szCs w:val="18"/>
                <w:lang w:val="en-US"/>
              </w:rPr>
              <w:t>i</w:t>
            </w:r>
            <w:proofErr w:type="spellEnd"/>
            <w:r w:rsidR="0094444E" w:rsidRPr="006807C7">
              <w:rPr>
                <w:bCs/>
                <w:iCs/>
                <w:color w:val="auto"/>
                <w:sz w:val="18"/>
                <w:szCs w:val="18"/>
                <w:lang w:val="en-US"/>
              </w:rPr>
              <w:t>).</w:t>
            </w:r>
          </w:p>
        </w:tc>
      </w:tr>
      <w:tr w:rsidR="0036192E" w:rsidRPr="00D4056A" w14:paraId="5DC1D02D" w14:textId="77777777" w:rsidTr="002C4F49">
        <w:tc>
          <w:tcPr>
            <w:tcW w:w="2269" w:type="dxa"/>
            <w:shd w:val="clear" w:color="auto" w:fill="auto"/>
          </w:tcPr>
          <w:p w14:paraId="7048F2AF" w14:textId="77777777" w:rsidR="0036192E" w:rsidRPr="006807C7" w:rsidRDefault="0036192E" w:rsidP="0036192E">
            <w:pPr>
              <w:pStyle w:val="Default"/>
              <w:jc w:val="both"/>
              <w:rPr>
                <w:bCs/>
                <w:color w:val="auto"/>
                <w:sz w:val="18"/>
                <w:szCs w:val="18"/>
              </w:rPr>
            </w:pPr>
            <w:r w:rsidRPr="006807C7">
              <w:rPr>
                <w:bCs/>
                <w:color w:val="auto"/>
                <w:sz w:val="18"/>
                <w:szCs w:val="18"/>
              </w:rPr>
              <w:t>1.5 Exceptional items</w:t>
            </w:r>
          </w:p>
        </w:tc>
        <w:tc>
          <w:tcPr>
            <w:tcW w:w="6832" w:type="dxa"/>
            <w:shd w:val="clear" w:color="auto" w:fill="auto"/>
          </w:tcPr>
          <w:p w14:paraId="39932A12" w14:textId="4850A2D1" w:rsidR="0036192E" w:rsidRPr="006807C7" w:rsidRDefault="00B0507A" w:rsidP="0036192E">
            <w:pPr>
              <w:pStyle w:val="Default"/>
              <w:rPr>
                <w:bCs/>
                <w:iCs/>
                <w:color w:val="auto"/>
                <w:sz w:val="18"/>
                <w:szCs w:val="18"/>
                <w:lang w:val="en-US"/>
              </w:rPr>
            </w:pPr>
            <w:r w:rsidRPr="006807C7">
              <w:rPr>
                <w:bCs/>
                <w:iCs/>
                <w:color w:val="auto"/>
                <w:sz w:val="18"/>
                <w:szCs w:val="18"/>
                <w:lang w:val="en-US"/>
              </w:rPr>
              <w:t>N/A</w:t>
            </w:r>
          </w:p>
        </w:tc>
      </w:tr>
      <w:tr w:rsidR="0036192E" w:rsidRPr="006C2F02" w14:paraId="3E562169" w14:textId="77777777" w:rsidTr="002C4F49">
        <w:trPr>
          <w:trHeight w:val="210"/>
        </w:trPr>
        <w:tc>
          <w:tcPr>
            <w:tcW w:w="9101" w:type="dxa"/>
            <w:gridSpan w:val="2"/>
            <w:shd w:val="clear" w:color="auto" w:fill="auto"/>
          </w:tcPr>
          <w:p w14:paraId="6F5C2DCE" w14:textId="77777777" w:rsidR="0036192E" w:rsidRPr="006807C7" w:rsidRDefault="0036192E" w:rsidP="0036192E">
            <w:pPr>
              <w:spacing w:before="0" w:after="0"/>
              <w:jc w:val="left"/>
              <w:rPr>
                <w:rFonts w:ascii="Calibri" w:hAnsi="Calibri" w:cs="Calibri"/>
                <w:b/>
                <w:bCs/>
                <w:sz w:val="18"/>
                <w:szCs w:val="18"/>
              </w:rPr>
            </w:pPr>
            <w:r w:rsidRPr="006807C7">
              <w:rPr>
                <w:rFonts w:ascii="Calibri" w:hAnsi="Calibri" w:cs="Calibri"/>
                <w:b/>
                <w:bCs/>
                <w:sz w:val="18"/>
                <w:szCs w:val="18"/>
              </w:rPr>
              <w:t>2.     Detail by service (in nominal terms)</w:t>
            </w:r>
          </w:p>
        </w:tc>
      </w:tr>
      <w:tr w:rsidR="0036192E" w:rsidRPr="00B4297C" w14:paraId="1C21F074" w14:textId="77777777" w:rsidTr="002C4F49">
        <w:tc>
          <w:tcPr>
            <w:tcW w:w="2269" w:type="dxa"/>
            <w:shd w:val="clear" w:color="auto" w:fill="auto"/>
          </w:tcPr>
          <w:p w14:paraId="094C9071" w14:textId="77777777" w:rsidR="0036192E" w:rsidRPr="006807C7" w:rsidRDefault="0036192E" w:rsidP="0036192E">
            <w:pPr>
              <w:pStyle w:val="Default"/>
              <w:rPr>
                <w:bCs/>
                <w:color w:val="auto"/>
                <w:sz w:val="18"/>
                <w:szCs w:val="18"/>
              </w:rPr>
            </w:pPr>
            <w:r w:rsidRPr="006807C7">
              <w:rPr>
                <w:rFonts w:cs="Calibri"/>
                <w:sz w:val="18"/>
                <w:szCs w:val="18"/>
                <w:lang w:val="fr-BE" w:eastAsia="fr-BE"/>
              </w:rPr>
              <w:lastRenderedPageBreak/>
              <w:t>2.1 Air Traffic Management</w:t>
            </w:r>
          </w:p>
        </w:tc>
        <w:tc>
          <w:tcPr>
            <w:tcW w:w="6832" w:type="dxa"/>
            <w:shd w:val="clear" w:color="auto" w:fill="auto"/>
          </w:tcPr>
          <w:p w14:paraId="594DE39D" w14:textId="37BA0C2C" w:rsidR="0036192E" w:rsidRPr="006807C7" w:rsidRDefault="00DB6FF1" w:rsidP="0036192E">
            <w:pPr>
              <w:pStyle w:val="Default"/>
              <w:jc w:val="both"/>
              <w:rPr>
                <w:bCs/>
                <w:iCs/>
                <w:color w:val="auto"/>
                <w:sz w:val="18"/>
                <w:szCs w:val="18"/>
                <w:lang w:val="en-US"/>
              </w:rPr>
            </w:pPr>
            <w:r w:rsidRPr="006807C7">
              <w:rPr>
                <w:bCs/>
                <w:iCs/>
                <w:color w:val="auto"/>
                <w:sz w:val="18"/>
                <w:szCs w:val="18"/>
                <w:lang w:val="en-US"/>
              </w:rPr>
              <w:t xml:space="preserve">The cost allocation model in </w:t>
            </w:r>
            <w:proofErr w:type="spellStart"/>
            <w:r w:rsidRPr="006807C7">
              <w:rPr>
                <w:bCs/>
                <w:iCs/>
                <w:color w:val="auto"/>
                <w:sz w:val="18"/>
                <w:szCs w:val="18"/>
                <w:lang w:val="en-US"/>
              </w:rPr>
              <w:t>Avinor</w:t>
            </w:r>
            <w:proofErr w:type="spellEnd"/>
            <w:r w:rsidRPr="006807C7">
              <w:rPr>
                <w:bCs/>
                <w:iCs/>
                <w:color w:val="auto"/>
                <w:sz w:val="18"/>
                <w:szCs w:val="18"/>
                <w:lang w:val="en-US"/>
              </w:rPr>
              <w:t xml:space="preserve"> ANS does not support allocation on services as specified in the reporting tables. Total cost is allocated based on </w:t>
            </w:r>
            <w:r w:rsidR="00C908DC" w:rsidRPr="006807C7">
              <w:rPr>
                <w:bCs/>
                <w:iCs/>
                <w:color w:val="auto"/>
                <w:sz w:val="18"/>
                <w:szCs w:val="18"/>
                <w:lang w:val="en-US"/>
              </w:rPr>
              <w:t xml:space="preserve">fixed shares on the different services. </w:t>
            </w:r>
          </w:p>
        </w:tc>
      </w:tr>
      <w:tr w:rsidR="0036192E" w:rsidRPr="00CA2B9B" w14:paraId="7AE4357B" w14:textId="77777777" w:rsidTr="002C4F49">
        <w:tc>
          <w:tcPr>
            <w:tcW w:w="2269" w:type="dxa"/>
            <w:shd w:val="clear" w:color="auto" w:fill="auto"/>
          </w:tcPr>
          <w:p w14:paraId="5D1253A0" w14:textId="77777777" w:rsidR="0036192E" w:rsidRPr="006807C7" w:rsidRDefault="0036192E" w:rsidP="0036192E">
            <w:pPr>
              <w:pStyle w:val="Default"/>
              <w:rPr>
                <w:bCs/>
                <w:color w:val="auto"/>
                <w:sz w:val="18"/>
                <w:szCs w:val="18"/>
              </w:rPr>
            </w:pPr>
            <w:r w:rsidRPr="006807C7">
              <w:rPr>
                <w:rFonts w:cs="Calibri"/>
                <w:sz w:val="18"/>
                <w:szCs w:val="18"/>
                <w:lang w:val="fr-BE" w:eastAsia="fr-BE"/>
              </w:rPr>
              <w:t>2.2 Communication</w:t>
            </w:r>
          </w:p>
        </w:tc>
        <w:tc>
          <w:tcPr>
            <w:tcW w:w="6832" w:type="dxa"/>
            <w:shd w:val="clear" w:color="auto" w:fill="auto"/>
          </w:tcPr>
          <w:p w14:paraId="231F17E3" w14:textId="51404861" w:rsidR="0036192E" w:rsidRPr="006807C7" w:rsidRDefault="00C908DC" w:rsidP="0036192E">
            <w:pPr>
              <w:pStyle w:val="Default"/>
              <w:rPr>
                <w:bCs/>
                <w:iCs/>
                <w:color w:val="auto"/>
                <w:sz w:val="18"/>
                <w:szCs w:val="18"/>
                <w:lang w:val="en-US"/>
              </w:rPr>
            </w:pPr>
            <w:r w:rsidRPr="006807C7">
              <w:rPr>
                <w:bCs/>
                <w:iCs/>
                <w:color w:val="auto"/>
                <w:sz w:val="18"/>
                <w:szCs w:val="18"/>
                <w:lang w:val="en-US"/>
              </w:rPr>
              <w:t xml:space="preserve">Please see 2.1. </w:t>
            </w:r>
          </w:p>
        </w:tc>
      </w:tr>
      <w:tr w:rsidR="0036192E" w:rsidRPr="009D72C7" w14:paraId="44802FA7" w14:textId="77777777" w:rsidTr="002C4F49">
        <w:tc>
          <w:tcPr>
            <w:tcW w:w="2269" w:type="dxa"/>
            <w:shd w:val="clear" w:color="auto" w:fill="auto"/>
          </w:tcPr>
          <w:p w14:paraId="1FE49D9B" w14:textId="77777777" w:rsidR="0036192E" w:rsidRPr="006807C7" w:rsidRDefault="0036192E" w:rsidP="0036192E">
            <w:pPr>
              <w:pStyle w:val="Default"/>
              <w:rPr>
                <w:bCs/>
                <w:color w:val="auto"/>
                <w:sz w:val="18"/>
                <w:szCs w:val="18"/>
                <w:lang w:val="en-US"/>
              </w:rPr>
            </w:pPr>
            <w:r w:rsidRPr="006807C7">
              <w:rPr>
                <w:rFonts w:cs="Calibri"/>
                <w:sz w:val="18"/>
                <w:szCs w:val="18"/>
                <w:lang w:val="fr-BE" w:eastAsia="fr-BE"/>
              </w:rPr>
              <w:t>2.3 Navigation</w:t>
            </w:r>
          </w:p>
        </w:tc>
        <w:tc>
          <w:tcPr>
            <w:tcW w:w="6832" w:type="dxa"/>
            <w:shd w:val="clear" w:color="auto" w:fill="auto"/>
          </w:tcPr>
          <w:p w14:paraId="207F08C5" w14:textId="7C07DEF0" w:rsidR="0036192E" w:rsidRPr="006807C7" w:rsidRDefault="00C908DC" w:rsidP="0036192E">
            <w:pPr>
              <w:pStyle w:val="Default"/>
              <w:jc w:val="both"/>
              <w:rPr>
                <w:bCs/>
                <w:iCs/>
                <w:color w:val="auto"/>
                <w:sz w:val="18"/>
                <w:szCs w:val="18"/>
                <w:lang w:val="en-US"/>
              </w:rPr>
            </w:pPr>
            <w:r w:rsidRPr="006807C7">
              <w:rPr>
                <w:bCs/>
                <w:iCs/>
                <w:color w:val="auto"/>
                <w:sz w:val="18"/>
                <w:szCs w:val="18"/>
                <w:lang w:val="en-US"/>
              </w:rPr>
              <w:t>Please see 2.1.</w:t>
            </w:r>
          </w:p>
        </w:tc>
      </w:tr>
      <w:tr w:rsidR="0036192E" w:rsidRPr="00425B26" w14:paraId="09B0905C" w14:textId="77777777" w:rsidTr="002C4F49">
        <w:tc>
          <w:tcPr>
            <w:tcW w:w="2269" w:type="dxa"/>
            <w:shd w:val="clear" w:color="auto" w:fill="auto"/>
          </w:tcPr>
          <w:p w14:paraId="04B0FB74" w14:textId="77777777" w:rsidR="0036192E" w:rsidRPr="006807C7" w:rsidRDefault="0036192E" w:rsidP="0036192E">
            <w:pPr>
              <w:pStyle w:val="Default"/>
              <w:rPr>
                <w:bCs/>
                <w:color w:val="auto"/>
                <w:sz w:val="18"/>
                <w:szCs w:val="18"/>
              </w:rPr>
            </w:pPr>
            <w:r w:rsidRPr="006807C7">
              <w:rPr>
                <w:rFonts w:cs="Calibri"/>
                <w:sz w:val="18"/>
                <w:szCs w:val="18"/>
                <w:lang w:val="fr-BE" w:eastAsia="fr-BE"/>
              </w:rPr>
              <w:t>2.4 Surveillance</w:t>
            </w:r>
          </w:p>
        </w:tc>
        <w:tc>
          <w:tcPr>
            <w:tcW w:w="6832" w:type="dxa"/>
            <w:shd w:val="clear" w:color="auto" w:fill="auto"/>
          </w:tcPr>
          <w:p w14:paraId="14AB4631" w14:textId="55008842" w:rsidR="0036192E" w:rsidRPr="006807C7" w:rsidRDefault="00C908DC" w:rsidP="0036192E">
            <w:pPr>
              <w:pStyle w:val="Default"/>
              <w:jc w:val="both"/>
              <w:rPr>
                <w:bCs/>
                <w:iCs/>
                <w:color w:val="auto"/>
                <w:sz w:val="18"/>
                <w:szCs w:val="18"/>
                <w:lang w:val="en-US"/>
              </w:rPr>
            </w:pPr>
            <w:r w:rsidRPr="006807C7">
              <w:rPr>
                <w:bCs/>
                <w:iCs/>
                <w:color w:val="auto"/>
                <w:sz w:val="18"/>
                <w:szCs w:val="18"/>
                <w:lang w:val="en-US"/>
              </w:rPr>
              <w:t>Please see 2.1.</w:t>
            </w:r>
          </w:p>
        </w:tc>
      </w:tr>
      <w:tr w:rsidR="0036192E" w:rsidRPr="00D4056A" w14:paraId="26B49071" w14:textId="77777777" w:rsidTr="002C4F49">
        <w:tc>
          <w:tcPr>
            <w:tcW w:w="2269" w:type="dxa"/>
            <w:shd w:val="clear" w:color="auto" w:fill="auto"/>
          </w:tcPr>
          <w:p w14:paraId="559EC2A2" w14:textId="77777777" w:rsidR="0036192E" w:rsidRPr="006807C7" w:rsidRDefault="0036192E" w:rsidP="0036192E">
            <w:pPr>
              <w:pStyle w:val="Default"/>
              <w:rPr>
                <w:bCs/>
                <w:color w:val="auto"/>
                <w:sz w:val="18"/>
                <w:szCs w:val="18"/>
              </w:rPr>
            </w:pPr>
            <w:r w:rsidRPr="006807C7">
              <w:rPr>
                <w:rFonts w:cs="Calibri"/>
                <w:sz w:val="18"/>
                <w:szCs w:val="18"/>
                <w:lang w:val="fr-BE" w:eastAsia="fr-BE"/>
              </w:rPr>
              <w:t>2.5 Search and rescue</w:t>
            </w:r>
          </w:p>
        </w:tc>
        <w:tc>
          <w:tcPr>
            <w:tcW w:w="6832" w:type="dxa"/>
            <w:shd w:val="clear" w:color="auto" w:fill="auto"/>
          </w:tcPr>
          <w:p w14:paraId="469D96F2" w14:textId="10783B8C" w:rsidR="0036192E" w:rsidRPr="006807C7" w:rsidRDefault="00C908DC" w:rsidP="0036192E">
            <w:pPr>
              <w:pStyle w:val="Default"/>
              <w:rPr>
                <w:bCs/>
                <w:iCs/>
                <w:color w:val="auto"/>
                <w:sz w:val="18"/>
                <w:szCs w:val="18"/>
                <w:lang w:val="en-US"/>
              </w:rPr>
            </w:pPr>
            <w:r w:rsidRPr="006807C7">
              <w:rPr>
                <w:bCs/>
                <w:iCs/>
                <w:color w:val="auto"/>
                <w:sz w:val="18"/>
                <w:szCs w:val="18"/>
                <w:lang w:val="en-US"/>
              </w:rPr>
              <w:t>Please see 2.1.</w:t>
            </w:r>
          </w:p>
        </w:tc>
      </w:tr>
      <w:tr w:rsidR="0036192E" w:rsidRPr="009D72C7" w14:paraId="2B72BFE7" w14:textId="77777777" w:rsidTr="002C4F49">
        <w:tc>
          <w:tcPr>
            <w:tcW w:w="2269" w:type="dxa"/>
            <w:shd w:val="clear" w:color="auto" w:fill="auto"/>
          </w:tcPr>
          <w:p w14:paraId="7816004F" w14:textId="77777777" w:rsidR="0036192E" w:rsidRPr="006807C7" w:rsidRDefault="0036192E" w:rsidP="0036192E">
            <w:pPr>
              <w:pStyle w:val="Default"/>
              <w:rPr>
                <w:bCs/>
                <w:color w:val="auto"/>
                <w:sz w:val="18"/>
                <w:szCs w:val="18"/>
                <w:lang w:val="en-US"/>
              </w:rPr>
            </w:pPr>
            <w:r w:rsidRPr="006807C7">
              <w:rPr>
                <w:rFonts w:cs="Calibri"/>
                <w:sz w:val="18"/>
                <w:szCs w:val="18"/>
                <w:lang w:val="fr-BE" w:eastAsia="fr-BE"/>
              </w:rPr>
              <w:t>2.6 Aeronautical Information</w:t>
            </w:r>
          </w:p>
        </w:tc>
        <w:tc>
          <w:tcPr>
            <w:tcW w:w="6832" w:type="dxa"/>
            <w:shd w:val="clear" w:color="auto" w:fill="auto"/>
          </w:tcPr>
          <w:p w14:paraId="7F16DEEA" w14:textId="6F912F17" w:rsidR="0036192E" w:rsidRPr="006807C7" w:rsidRDefault="00C908DC" w:rsidP="0036192E">
            <w:pPr>
              <w:pStyle w:val="Default"/>
              <w:jc w:val="both"/>
              <w:rPr>
                <w:bCs/>
                <w:iCs/>
                <w:color w:val="auto"/>
                <w:sz w:val="18"/>
                <w:szCs w:val="18"/>
                <w:lang w:val="en-US"/>
              </w:rPr>
            </w:pPr>
            <w:r w:rsidRPr="006807C7">
              <w:rPr>
                <w:bCs/>
                <w:iCs/>
                <w:color w:val="auto"/>
                <w:sz w:val="18"/>
                <w:szCs w:val="18"/>
                <w:lang w:val="en-US"/>
              </w:rPr>
              <w:t>Please see 2.1.</w:t>
            </w:r>
          </w:p>
        </w:tc>
      </w:tr>
      <w:tr w:rsidR="0036192E" w:rsidRPr="00425B26" w14:paraId="44E9C137" w14:textId="77777777" w:rsidTr="002C4F49">
        <w:tc>
          <w:tcPr>
            <w:tcW w:w="2269" w:type="dxa"/>
            <w:shd w:val="clear" w:color="auto" w:fill="auto"/>
          </w:tcPr>
          <w:p w14:paraId="6C38D55C" w14:textId="01309568" w:rsidR="0036192E" w:rsidRPr="006807C7" w:rsidRDefault="0036192E" w:rsidP="0036192E">
            <w:pPr>
              <w:pStyle w:val="Default"/>
              <w:rPr>
                <w:bCs/>
                <w:color w:val="auto"/>
                <w:sz w:val="18"/>
                <w:szCs w:val="18"/>
              </w:rPr>
            </w:pPr>
            <w:r w:rsidRPr="006807C7">
              <w:rPr>
                <w:rFonts w:cs="Calibri"/>
                <w:sz w:val="18"/>
                <w:szCs w:val="18"/>
                <w:lang w:val="fr-BE" w:eastAsia="fr-BE"/>
              </w:rPr>
              <w:t>2.7 Meteorological services</w:t>
            </w:r>
          </w:p>
        </w:tc>
        <w:tc>
          <w:tcPr>
            <w:tcW w:w="6832" w:type="dxa"/>
            <w:shd w:val="clear" w:color="auto" w:fill="auto"/>
          </w:tcPr>
          <w:p w14:paraId="5B5E1F75" w14:textId="2588EF16" w:rsidR="0036192E" w:rsidRPr="006807C7" w:rsidRDefault="00D42E5F" w:rsidP="0036192E">
            <w:pPr>
              <w:pStyle w:val="Default"/>
              <w:jc w:val="both"/>
              <w:rPr>
                <w:bCs/>
                <w:iCs/>
                <w:color w:val="auto"/>
                <w:sz w:val="18"/>
                <w:szCs w:val="18"/>
                <w:lang w:val="en-US"/>
              </w:rPr>
            </w:pPr>
            <w:r w:rsidRPr="006807C7">
              <w:rPr>
                <w:bCs/>
                <w:iCs/>
                <w:color w:val="auto"/>
                <w:sz w:val="18"/>
                <w:szCs w:val="18"/>
                <w:lang w:val="en-US"/>
              </w:rPr>
              <w:t>Please see 2.1.</w:t>
            </w:r>
          </w:p>
        </w:tc>
      </w:tr>
      <w:tr w:rsidR="0036192E" w:rsidRPr="00D4056A" w14:paraId="6A56C1BF" w14:textId="77777777" w:rsidTr="002C4F49">
        <w:tc>
          <w:tcPr>
            <w:tcW w:w="2269" w:type="dxa"/>
            <w:shd w:val="clear" w:color="auto" w:fill="auto"/>
          </w:tcPr>
          <w:p w14:paraId="56A64288" w14:textId="77777777" w:rsidR="0036192E" w:rsidRPr="006807C7" w:rsidRDefault="0036192E" w:rsidP="0036192E">
            <w:pPr>
              <w:pStyle w:val="Default"/>
              <w:rPr>
                <w:bCs/>
                <w:color w:val="auto"/>
                <w:sz w:val="18"/>
                <w:szCs w:val="18"/>
              </w:rPr>
            </w:pPr>
            <w:r w:rsidRPr="006807C7">
              <w:rPr>
                <w:rFonts w:cs="Calibri"/>
                <w:sz w:val="18"/>
                <w:szCs w:val="18"/>
                <w:lang w:val="fr-BE" w:eastAsia="fr-BE"/>
              </w:rPr>
              <w:t>2.8 Supervision costs</w:t>
            </w:r>
          </w:p>
        </w:tc>
        <w:tc>
          <w:tcPr>
            <w:tcW w:w="6832" w:type="dxa"/>
            <w:shd w:val="clear" w:color="auto" w:fill="auto"/>
          </w:tcPr>
          <w:p w14:paraId="4353364B" w14:textId="1148F670" w:rsidR="0036192E" w:rsidRPr="006807C7" w:rsidRDefault="00D42E5F" w:rsidP="0036192E">
            <w:pPr>
              <w:pStyle w:val="Default"/>
              <w:rPr>
                <w:bCs/>
                <w:iCs/>
                <w:color w:val="auto"/>
                <w:sz w:val="18"/>
                <w:szCs w:val="18"/>
                <w:lang w:val="en-US"/>
              </w:rPr>
            </w:pPr>
            <w:r w:rsidRPr="006807C7">
              <w:rPr>
                <w:bCs/>
                <w:iCs/>
                <w:color w:val="auto"/>
                <w:sz w:val="18"/>
                <w:szCs w:val="18"/>
                <w:lang w:val="en-US"/>
              </w:rPr>
              <w:t>Please see 2.1.</w:t>
            </w:r>
          </w:p>
        </w:tc>
      </w:tr>
      <w:tr w:rsidR="0036192E" w:rsidRPr="009D72C7" w14:paraId="1DDAE74D" w14:textId="77777777" w:rsidTr="002C4F49">
        <w:tc>
          <w:tcPr>
            <w:tcW w:w="2269" w:type="dxa"/>
            <w:shd w:val="clear" w:color="auto" w:fill="auto"/>
          </w:tcPr>
          <w:p w14:paraId="1D53A8CF" w14:textId="77777777" w:rsidR="0036192E" w:rsidRPr="006807C7" w:rsidRDefault="0036192E" w:rsidP="0036192E">
            <w:pPr>
              <w:pStyle w:val="Default"/>
              <w:rPr>
                <w:bCs/>
                <w:color w:val="auto"/>
                <w:sz w:val="18"/>
                <w:szCs w:val="18"/>
                <w:lang w:val="en-US"/>
              </w:rPr>
            </w:pPr>
            <w:r w:rsidRPr="006807C7">
              <w:rPr>
                <w:rFonts w:cs="Calibri"/>
                <w:sz w:val="18"/>
                <w:szCs w:val="18"/>
                <w:lang w:val="fr-BE" w:eastAsia="fr-BE"/>
              </w:rPr>
              <w:t>2.9 Other State costs</w:t>
            </w:r>
          </w:p>
        </w:tc>
        <w:tc>
          <w:tcPr>
            <w:tcW w:w="6832" w:type="dxa"/>
            <w:shd w:val="clear" w:color="auto" w:fill="auto"/>
          </w:tcPr>
          <w:p w14:paraId="2D7FE0AC" w14:textId="7BF2B2C1" w:rsidR="0036192E" w:rsidRPr="006807C7" w:rsidRDefault="00131750" w:rsidP="0036192E">
            <w:pPr>
              <w:pStyle w:val="Default"/>
              <w:jc w:val="both"/>
              <w:rPr>
                <w:bCs/>
                <w:iCs/>
                <w:color w:val="auto"/>
                <w:sz w:val="18"/>
                <w:szCs w:val="18"/>
                <w:lang w:val="en-US"/>
              </w:rPr>
            </w:pPr>
            <w:proofErr w:type="spellStart"/>
            <w:r w:rsidRPr="00131750">
              <w:rPr>
                <w:bCs/>
                <w:iCs/>
                <w:color w:val="auto"/>
                <w:sz w:val="18"/>
                <w:szCs w:val="18"/>
                <w:lang w:val="en-US"/>
              </w:rPr>
              <w:t>Eurocontrol</w:t>
            </w:r>
            <w:proofErr w:type="spellEnd"/>
            <w:r w:rsidRPr="00131750">
              <w:rPr>
                <w:bCs/>
                <w:iCs/>
                <w:color w:val="auto"/>
                <w:sz w:val="18"/>
                <w:szCs w:val="18"/>
                <w:lang w:val="en-US"/>
              </w:rPr>
              <w:t xml:space="preserve"> costs</w:t>
            </w:r>
          </w:p>
        </w:tc>
      </w:tr>
      <w:tr w:rsidR="0036192E" w:rsidRPr="006C2F02" w14:paraId="7313ED8F" w14:textId="77777777" w:rsidTr="002C4F49">
        <w:trPr>
          <w:trHeight w:val="210"/>
        </w:trPr>
        <w:tc>
          <w:tcPr>
            <w:tcW w:w="9101" w:type="dxa"/>
            <w:gridSpan w:val="2"/>
            <w:shd w:val="clear" w:color="auto" w:fill="auto"/>
          </w:tcPr>
          <w:p w14:paraId="71E82D04" w14:textId="77777777" w:rsidR="0036192E" w:rsidRPr="006807C7" w:rsidRDefault="0036192E" w:rsidP="0036192E">
            <w:pPr>
              <w:pStyle w:val="Default"/>
              <w:jc w:val="center"/>
              <w:rPr>
                <w:b/>
                <w:color w:val="auto"/>
                <w:sz w:val="18"/>
                <w:szCs w:val="18"/>
              </w:rPr>
            </w:pPr>
            <w:r w:rsidRPr="006807C7">
              <w:rPr>
                <w:b/>
                <w:color w:val="auto"/>
                <w:sz w:val="18"/>
                <w:szCs w:val="18"/>
              </w:rPr>
              <w:t>Adjustments beyond the provisions of the International Financial Reporting Standards adopted by the Union pursuant to Regulation (EC) No 1126/2008</w:t>
            </w:r>
          </w:p>
        </w:tc>
      </w:tr>
      <w:tr w:rsidR="0036192E" w:rsidRPr="006C2F02" w14:paraId="734ADA28" w14:textId="77777777" w:rsidTr="002C4F49">
        <w:trPr>
          <w:trHeight w:val="210"/>
        </w:trPr>
        <w:tc>
          <w:tcPr>
            <w:tcW w:w="9101" w:type="dxa"/>
            <w:gridSpan w:val="2"/>
            <w:shd w:val="clear" w:color="auto" w:fill="auto"/>
          </w:tcPr>
          <w:p w14:paraId="5E8D7192" w14:textId="77777777" w:rsidR="0036192E" w:rsidRPr="006807C7" w:rsidRDefault="0036192E" w:rsidP="0036192E">
            <w:pPr>
              <w:pStyle w:val="Default"/>
              <w:rPr>
                <w:b/>
                <w:color w:val="auto"/>
                <w:sz w:val="18"/>
                <w:szCs w:val="18"/>
              </w:rPr>
            </w:pPr>
            <w:r w:rsidRPr="006807C7">
              <w:rPr>
                <w:bCs/>
                <w:iCs/>
                <w:color w:val="auto"/>
                <w:sz w:val="18"/>
                <w:szCs w:val="18"/>
                <w:lang w:val="en-US"/>
              </w:rPr>
              <w:t>&lt;   &gt;</w:t>
            </w:r>
          </w:p>
        </w:tc>
      </w:tr>
    </w:tbl>
    <w:p w14:paraId="19A034DB" w14:textId="77777777" w:rsidR="00352E4E" w:rsidRDefault="00352E4E" w:rsidP="00352E4E">
      <w:pPr>
        <w:jc w:val="center"/>
        <w:rPr>
          <w:i/>
          <w:lang w:eastAsia="de-DE"/>
        </w:rPr>
      </w:pPr>
    </w:p>
    <w:p w14:paraId="32188702" w14:textId="19D76892" w:rsidR="002778DF" w:rsidRPr="002778DF" w:rsidRDefault="002778DF" w:rsidP="002778DF">
      <w:pPr>
        <w:jc w:val="center"/>
        <w:rPr>
          <w:b/>
          <w:i/>
          <w:lang w:eastAsia="de-DE"/>
        </w:rPr>
      </w:pPr>
      <w:r>
        <w:rPr>
          <w:b/>
          <w:i/>
          <w:lang w:eastAsia="de-DE"/>
        </w:rPr>
        <w:t>Pension costs</w:t>
      </w:r>
    </w:p>
    <w:p w14:paraId="72001C35" w14:textId="77777777" w:rsidR="002778DF" w:rsidRDefault="002778DF" w:rsidP="002778DF">
      <w:pPr>
        <w:jc w:val="left"/>
        <w:rPr>
          <w:i/>
          <w:lang w:eastAsia="de-DE"/>
        </w:rPr>
      </w:pPr>
      <w:r>
        <w:rPr>
          <w:i/>
          <w:sz w:val="20"/>
          <w:szCs w:val="20"/>
          <w:lang w:eastAsia="de-DE"/>
        </w:rPr>
        <w:t xml:space="preserve">Note: The determined pension costs of the main ANSPs are detailed and justified in the body of the performance plan (item 3.4.3) </w:t>
      </w:r>
      <w:r w:rsidRPr="00277BB7">
        <w:rPr>
          <w:i/>
          <w:sz w:val="20"/>
          <w:szCs w:val="20"/>
          <w:lang w:eastAsia="de-DE"/>
        </w:rPr>
        <w:t xml:space="preserve">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2778DF" w:rsidRPr="002778DF" w14:paraId="085EA1F6" w14:textId="77777777" w:rsidTr="002778DF">
        <w:trPr>
          <w:trHeight w:val="21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09471E36" w14:textId="24BD5311" w:rsidR="002778DF" w:rsidRPr="002778DF" w:rsidRDefault="002778DF" w:rsidP="002778DF">
            <w:pPr>
              <w:pStyle w:val="Default"/>
              <w:jc w:val="center"/>
              <w:rPr>
                <w:b/>
                <w:color w:val="auto"/>
                <w:sz w:val="18"/>
                <w:szCs w:val="18"/>
              </w:rPr>
            </w:pPr>
            <w:r w:rsidRPr="002778DF">
              <w:rPr>
                <w:b/>
                <w:color w:val="auto"/>
                <w:sz w:val="18"/>
                <w:szCs w:val="18"/>
              </w:rPr>
              <w:t xml:space="preserve">Entity: </w:t>
            </w:r>
            <w:proofErr w:type="spellStart"/>
            <w:r w:rsidR="0036192E">
              <w:rPr>
                <w:b/>
                <w:color w:val="auto"/>
                <w:sz w:val="18"/>
                <w:szCs w:val="18"/>
              </w:rPr>
              <w:t>Avinor</w:t>
            </w:r>
            <w:proofErr w:type="spellEnd"/>
            <w:r w:rsidR="0036192E">
              <w:rPr>
                <w:b/>
                <w:color w:val="auto"/>
                <w:sz w:val="18"/>
                <w:szCs w:val="18"/>
              </w:rPr>
              <w:t xml:space="preserve"> Air Navigation Services</w:t>
            </w:r>
            <w:r w:rsidRPr="002778DF">
              <w:rPr>
                <w:b/>
                <w:color w:val="auto"/>
                <w:sz w:val="18"/>
                <w:szCs w:val="18"/>
              </w:rPr>
              <w:t xml:space="preserve"> </w:t>
            </w:r>
          </w:p>
        </w:tc>
      </w:tr>
      <w:tr w:rsidR="002778DF" w:rsidRPr="006C2F02" w14:paraId="6644C2CD" w14:textId="77777777" w:rsidTr="00BC0FFA">
        <w:trPr>
          <w:trHeight w:val="210"/>
        </w:trPr>
        <w:tc>
          <w:tcPr>
            <w:tcW w:w="9322" w:type="dxa"/>
            <w:shd w:val="clear" w:color="auto" w:fill="auto"/>
          </w:tcPr>
          <w:p w14:paraId="31781184" w14:textId="77777777" w:rsidR="002778DF" w:rsidRPr="006C459D" w:rsidRDefault="002778DF" w:rsidP="00BC0FFA">
            <w:pPr>
              <w:spacing w:before="0" w:after="0"/>
              <w:jc w:val="left"/>
              <w:rPr>
                <w:rFonts w:ascii="Calibri" w:hAnsi="Calibri" w:cs="Calibri"/>
                <w:b/>
                <w:bCs/>
                <w:sz w:val="18"/>
                <w:szCs w:val="18"/>
              </w:rPr>
            </w:pPr>
            <w:r>
              <w:rPr>
                <w:rFonts w:ascii="Calibri" w:hAnsi="Calibri" w:cs="Calibri"/>
                <w:b/>
                <w:bCs/>
                <w:sz w:val="18"/>
                <w:szCs w:val="18"/>
              </w:rPr>
              <w:t>Assumptions underlying the determined pension costs and expected evolution over Reference Period 3</w:t>
            </w:r>
          </w:p>
        </w:tc>
      </w:tr>
      <w:tr w:rsidR="0095483E" w:rsidRPr="006C2F02" w14:paraId="42F99AC1" w14:textId="77777777" w:rsidTr="00BC0FFA">
        <w:trPr>
          <w:trHeight w:val="210"/>
        </w:trPr>
        <w:tc>
          <w:tcPr>
            <w:tcW w:w="9322" w:type="dxa"/>
            <w:shd w:val="clear" w:color="auto" w:fill="auto"/>
          </w:tcPr>
          <w:p w14:paraId="76F2281B" w14:textId="6FBB1DAB" w:rsidR="0095483E" w:rsidRPr="00CD2F09" w:rsidRDefault="00CD2F09" w:rsidP="0095483E">
            <w:pPr>
              <w:spacing w:before="0" w:after="0"/>
              <w:jc w:val="left"/>
              <w:rPr>
                <w:rFonts w:ascii="Calibri" w:hAnsi="Calibri" w:cs="Calibri"/>
                <w:bCs/>
                <w:sz w:val="18"/>
                <w:szCs w:val="18"/>
                <w:highlight w:val="yellow"/>
              </w:rPr>
            </w:pPr>
            <w:r w:rsidRPr="00CD2F09">
              <w:rPr>
                <w:rFonts w:asciiTheme="minorHAnsi" w:hAnsiTheme="minorHAnsi" w:cstheme="minorHAnsi"/>
                <w:bCs/>
                <w:iCs/>
                <w:sz w:val="18"/>
                <w:szCs w:val="18"/>
                <w:lang w:val="en-US"/>
              </w:rPr>
              <w:t xml:space="preserve">Please see 1.1. Staff cost/pension cost in table 1 f. </w:t>
            </w:r>
          </w:p>
        </w:tc>
      </w:tr>
    </w:tbl>
    <w:p w14:paraId="7CB2BD32" w14:textId="77777777" w:rsidR="00352E4E" w:rsidRPr="00131750" w:rsidRDefault="00352E4E" w:rsidP="00352E4E">
      <w:pPr>
        <w:pStyle w:val="Default"/>
        <w:jc w:val="both"/>
        <w:rPr>
          <w:rFonts w:ascii="Arial" w:hAnsi="Arial" w:cs="Arial"/>
          <w:color w:val="auto"/>
          <w:sz w:val="20"/>
          <w:szCs w:val="20"/>
          <w:highlight w:val="yellow"/>
        </w:rPr>
      </w:pPr>
    </w:p>
    <w:p w14:paraId="70111442" w14:textId="7D88F04B" w:rsidR="00090261" w:rsidRPr="00131750" w:rsidRDefault="00090261" w:rsidP="00131750">
      <w:pPr>
        <w:pStyle w:val="Default"/>
        <w:jc w:val="both"/>
        <w:rPr>
          <w:rFonts w:ascii="Arial" w:hAnsi="Arial" w:cs="Arial"/>
          <w:color w:val="auto"/>
          <w:sz w:val="20"/>
          <w:szCs w:val="20"/>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7"/>
      </w:tblGrid>
      <w:tr w:rsidR="00352E4E" w:rsidRPr="00CA5B88" w14:paraId="5A5B61A2" w14:textId="77777777" w:rsidTr="002C4F49">
        <w:tc>
          <w:tcPr>
            <w:tcW w:w="9067" w:type="dxa"/>
            <w:shd w:val="clear" w:color="auto" w:fill="C6D9F1"/>
          </w:tcPr>
          <w:p w14:paraId="5A4313CC"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a description and justification of the method adopted for the calculation of depreciation costs (point 1.3 of Table 1): historical costs or current costs referred to in the fourth subparagraph of Article 22(4), and, where current cost accounting is used, provision of comparable historical cost data;</w:t>
            </w:r>
          </w:p>
        </w:tc>
      </w:tr>
    </w:tbl>
    <w:p w14:paraId="7EBD6C99" w14:textId="77777777" w:rsidR="0010691F" w:rsidRPr="005B1146" w:rsidRDefault="0010691F" w:rsidP="0010691F">
      <w:pPr>
        <w:pStyle w:val="Default"/>
        <w:jc w:val="both"/>
        <w:rPr>
          <w:rFonts w:ascii="Arial" w:hAnsi="Arial" w:cs="Arial"/>
          <w:color w:val="auto"/>
          <w:sz w:val="20"/>
          <w:szCs w:val="20"/>
          <w:highlight w:val="yellow"/>
        </w:rPr>
      </w:pPr>
    </w:p>
    <w:p w14:paraId="5DB05732" w14:textId="0860AB44" w:rsidR="0095483E" w:rsidRPr="005B1146" w:rsidRDefault="0095483E" w:rsidP="0095483E">
      <w:pPr>
        <w:spacing w:before="0" w:after="0"/>
        <w:rPr>
          <w:rFonts w:ascii="Arial" w:hAnsi="Arial" w:cs="Arial"/>
          <w:sz w:val="20"/>
          <w:szCs w:val="20"/>
        </w:rPr>
      </w:pPr>
      <w:r w:rsidRPr="005B1146">
        <w:rPr>
          <w:rFonts w:ascii="Arial" w:hAnsi="Arial" w:cs="Arial"/>
          <w:sz w:val="20"/>
          <w:szCs w:val="20"/>
        </w:rPr>
        <w:t>Depreciation costs relate to the total fixed asset</w:t>
      </w:r>
      <w:r w:rsidR="00AD63E7">
        <w:rPr>
          <w:rFonts w:ascii="Arial" w:hAnsi="Arial" w:cs="Arial"/>
          <w:sz w:val="20"/>
          <w:szCs w:val="20"/>
        </w:rPr>
        <w:t>s</w:t>
      </w:r>
      <w:r w:rsidRPr="005B1146">
        <w:rPr>
          <w:rFonts w:ascii="Arial" w:hAnsi="Arial" w:cs="Arial"/>
          <w:sz w:val="20"/>
          <w:szCs w:val="20"/>
        </w:rPr>
        <w:t xml:space="preserve"> in operation for </w:t>
      </w:r>
      <w:smartTag w:uri="urn:schemas-microsoft-com:office:smarttags" w:element="stockticker">
        <w:r w:rsidRPr="005B1146">
          <w:rPr>
            <w:rFonts w:ascii="Arial" w:hAnsi="Arial" w:cs="Arial"/>
            <w:sz w:val="20"/>
            <w:szCs w:val="20"/>
          </w:rPr>
          <w:t>ANS</w:t>
        </w:r>
      </w:smartTag>
      <w:r w:rsidRPr="005B1146">
        <w:rPr>
          <w:rFonts w:ascii="Arial" w:hAnsi="Arial" w:cs="Arial"/>
          <w:sz w:val="20"/>
          <w:szCs w:val="20"/>
        </w:rPr>
        <w:t xml:space="preserve"> purposes. These fixed assets are depreciated in accordance with their expected operating life cycle. </w:t>
      </w:r>
      <w:proofErr w:type="spellStart"/>
      <w:r w:rsidRPr="005B1146">
        <w:rPr>
          <w:rFonts w:ascii="Arial" w:hAnsi="Arial" w:cs="Arial"/>
          <w:sz w:val="20"/>
          <w:szCs w:val="20"/>
        </w:rPr>
        <w:t>Avinor</w:t>
      </w:r>
      <w:proofErr w:type="spellEnd"/>
      <w:r w:rsidRPr="005B1146">
        <w:rPr>
          <w:rFonts w:ascii="Arial" w:hAnsi="Arial" w:cs="Arial"/>
          <w:sz w:val="20"/>
          <w:szCs w:val="20"/>
        </w:rPr>
        <w:t xml:space="preserve"> ANS uses a linear method applied to historic cost of the assets.</w:t>
      </w:r>
    </w:p>
    <w:p w14:paraId="510E0B5B" w14:textId="77777777" w:rsidR="0095483E" w:rsidRPr="005B1146" w:rsidRDefault="0095483E" w:rsidP="0095483E">
      <w:pPr>
        <w:spacing w:before="0" w:after="0"/>
        <w:rPr>
          <w:rFonts w:ascii="Arial" w:hAnsi="Arial" w:cs="Arial"/>
          <w:sz w:val="20"/>
          <w:szCs w:val="20"/>
        </w:rPr>
      </w:pPr>
    </w:p>
    <w:p w14:paraId="22D67502" w14:textId="2BA07209" w:rsidR="0095483E" w:rsidRDefault="0095483E" w:rsidP="0095483E">
      <w:pPr>
        <w:spacing w:before="0" w:after="0"/>
        <w:rPr>
          <w:rFonts w:ascii="Arial" w:hAnsi="Arial" w:cs="Arial"/>
          <w:sz w:val="20"/>
          <w:szCs w:val="20"/>
        </w:rPr>
      </w:pPr>
      <w:proofErr w:type="spellStart"/>
      <w:r w:rsidRPr="005B1146">
        <w:rPr>
          <w:rFonts w:ascii="Arial" w:hAnsi="Arial" w:cs="Arial"/>
          <w:sz w:val="20"/>
          <w:szCs w:val="20"/>
        </w:rPr>
        <w:t>Avinor</w:t>
      </w:r>
      <w:proofErr w:type="spellEnd"/>
      <w:r w:rsidRPr="005B1146">
        <w:rPr>
          <w:rFonts w:ascii="Arial" w:hAnsi="Arial" w:cs="Arial"/>
          <w:sz w:val="20"/>
          <w:szCs w:val="20"/>
        </w:rPr>
        <w:t xml:space="preserve"> ANS’s financial statement complie</w:t>
      </w:r>
      <w:r w:rsidR="005B1146">
        <w:rPr>
          <w:rFonts w:ascii="Arial" w:hAnsi="Arial" w:cs="Arial"/>
          <w:sz w:val="20"/>
          <w:szCs w:val="20"/>
        </w:rPr>
        <w:t>s</w:t>
      </w:r>
      <w:r w:rsidRPr="005B1146">
        <w:rPr>
          <w:rFonts w:ascii="Arial" w:hAnsi="Arial" w:cs="Arial"/>
          <w:sz w:val="20"/>
          <w:szCs w:val="20"/>
        </w:rPr>
        <w:t xml:space="preserve"> with International Accounting Standards, IFRS. </w:t>
      </w:r>
      <w:proofErr w:type="spellStart"/>
      <w:r w:rsidRPr="005B1146">
        <w:rPr>
          <w:rFonts w:ascii="Arial" w:hAnsi="Arial" w:cs="Arial"/>
          <w:sz w:val="20"/>
          <w:szCs w:val="20"/>
        </w:rPr>
        <w:t>Avinor</w:t>
      </w:r>
      <w:proofErr w:type="spellEnd"/>
      <w:r w:rsidRPr="005B1146">
        <w:rPr>
          <w:rFonts w:ascii="Arial" w:hAnsi="Arial" w:cs="Arial"/>
          <w:sz w:val="20"/>
          <w:szCs w:val="20"/>
        </w:rPr>
        <w:t xml:space="preserve"> ANS’ depreciation method is in accordance with applicable law. </w:t>
      </w:r>
    </w:p>
    <w:p w14:paraId="4543988A" w14:textId="4D3FB4BB" w:rsidR="007A5EC2" w:rsidRDefault="007A5EC2" w:rsidP="0095483E">
      <w:pPr>
        <w:spacing w:before="0" w:after="0"/>
        <w:rPr>
          <w:rFonts w:ascii="Arial" w:hAnsi="Arial" w:cs="Arial"/>
          <w:sz w:val="20"/>
          <w:szCs w:val="20"/>
        </w:rPr>
      </w:pPr>
    </w:p>
    <w:p w14:paraId="20055888" w14:textId="77777777" w:rsidR="007A5EC2" w:rsidRPr="005B1146" w:rsidRDefault="007A5EC2" w:rsidP="0095483E">
      <w:pPr>
        <w:spacing w:before="0"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038A7CA5" w14:textId="77777777" w:rsidTr="00A67C31">
        <w:tc>
          <w:tcPr>
            <w:tcW w:w="9060" w:type="dxa"/>
            <w:shd w:val="clear" w:color="auto" w:fill="C6D9F1"/>
          </w:tcPr>
          <w:p w14:paraId="420CE3C3" w14:textId="77777777" w:rsidR="00352E4E" w:rsidRPr="00CA5B88" w:rsidRDefault="00352E4E" w:rsidP="00352E4E">
            <w:pPr>
              <w:pStyle w:val="Default"/>
              <w:spacing w:before="60" w:after="60"/>
              <w:jc w:val="both"/>
              <w:rPr>
                <w:rFonts w:ascii="Arial" w:hAnsi="Arial" w:cs="Arial"/>
                <w:b/>
                <w:color w:val="17365D"/>
                <w:sz w:val="20"/>
                <w:szCs w:val="20"/>
              </w:rPr>
            </w:pPr>
            <w:r>
              <w:rPr>
                <w:rFonts w:ascii="Arial" w:hAnsi="Arial" w:cs="Arial"/>
                <w:b/>
                <w:color w:val="17365D"/>
                <w:sz w:val="20"/>
                <w:szCs w:val="20"/>
              </w:rPr>
              <w:t>h</w:t>
            </w:r>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and underlying assumptions of each item of complementary information (point 3 of Table 1), including a description of the main factors explaining the variations over the reference period;</w:t>
            </w:r>
          </w:p>
        </w:tc>
      </w:tr>
    </w:tbl>
    <w:p w14:paraId="72DC8062" w14:textId="77777777" w:rsidR="003D6459" w:rsidRPr="00785EE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775946" w:rsidRPr="006C2F02" w14:paraId="07FD58CC" w14:textId="77777777" w:rsidTr="00BC0FFA">
        <w:trPr>
          <w:trHeight w:val="210"/>
        </w:trPr>
        <w:tc>
          <w:tcPr>
            <w:tcW w:w="9073" w:type="dxa"/>
            <w:gridSpan w:val="2"/>
            <w:shd w:val="clear" w:color="auto" w:fill="auto"/>
          </w:tcPr>
          <w:p w14:paraId="10362385" w14:textId="18695272" w:rsidR="00775946" w:rsidRPr="006C2F02" w:rsidRDefault="007D4278" w:rsidP="00BC0FFA">
            <w:pPr>
              <w:pStyle w:val="Default"/>
              <w:jc w:val="center"/>
              <w:rPr>
                <w:b/>
                <w:color w:val="auto"/>
                <w:sz w:val="18"/>
                <w:szCs w:val="18"/>
              </w:rPr>
            </w:pPr>
            <w:proofErr w:type="spellStart"/>
            <w:r>
              <w:rPr>
                <w:b/>
                <w:color w:val="auto"/>
                <w:sz w:val="18"/>
                <w:szCs w:val="18"/>
              </w:rPr>
              <w:t>Avinor</w:t>
            </w:r>
            <w:proofErr w:type="spellEnd"/>
            <w:r>
              <w:rPr>
                <w:b/>
                <w:color w:val="auto"/>
                <w:sz w:val="18"/>
                <w:szCs w:val="18"/>
              </w:rPr>
              <w:t xml:space="preserve"> Air Navigation Services</w:t>
            </w:r>
          </w:p>
        </w:tc>
      </w:tr>
      <w:tr w:rsidR="00775946" w:rsidRPr="006C2F02" w14:paraId="5CC22342" w14:textId="77777777" w:rsidTr="00BC0FFA">
        <w:trPr>
          <w:trHeight w:val="210"/>
        </w:trPr>
        <w:tc>
          <w:tcPr>
            <w:tcW w:w="9073" w:type="dxa"/>
            <w:gridSpan w:val="2"/>
            <w:shd w:val="clear" w:color="auto" w:fill="auto"/>
          </w:tcPr>
          <w:p w14:paraId="1D44356C" w14:textId="77777777" w:rsidR="00775946" w:rsidRPr="006C2F02" w:rsidRDefault="00775946" w:rsidP="00BC0FFA">
            <w:pPr>
              <w:pStyle w:val="Default"/>
              <w:rPr>
                <w:b/>
                <w:color w:val="auto"/>
                <w:sz w:val="18"/>
                <w:szCs w:val="18"/>
              </w:rPr>
            </w:pPr>
            <w:r>
              <w:rPr>
                <w:b/>
                <w:color w:val="auto"/>
                <w:sz w:val="18"/>
                <w:szCs w:val="18"/>
              </w:rPr>
              <w:t>Costs of new and existing investments (see also performance plan item 2)</w:t>
            </w:r>
          </w:p>
        </w:tc>
      </w:tr>
      <w:tr w:rsidR="00775946" w:rsidRPr="002D6CCF" w14:paraId="35163CF0" w14:textId="77777777" w:rsidTr="00BC0FFA">
        <w:tc>
          <w:tcPr>
            <w:tcW w:w="2269" w:type="dxa"/>
            <w:shd w:val="clear" w:color="auto" w:fill="auto"/>
            <w:vAlign w:val="bottom"/>
          </w:tcPr>
          <w:p w14:paraId="1ECF8F91" w14:textId="58EE0DA9" w:rsidR="00775946" w:rsidRPr="002D6CCF" w:rsidRDefault="00775946" w:rsidP="00BC0FFA">
            <w:pPr>
              <w:spacing w:before="0" w:after="0"/>
              <w:jc w:val="left"/>
              <w:rPr>
                <w:rFonts w:ascii="Calibri" w:hAnsi="Calibri" w:cs="Calibri"/>
                <w:sz w:val="18"/>
                <w:szCs w:val="18"/>
              </w:rPr>
            </w:pPr>
            <w:r w:rsidRPr="002D6CCF">
              <w:rPr>
                <w:rFonts w:ascii="Calibri" w:hAnsi="Calibri" w:cs="Calibri"/>
                <w:sz w:val="18"/>
                <w:szCs w:val="18"/>
              </w:rPr>
              <w:t xml:space="preserve">3.10 </w:t>
            </w:r>
            <w:r w:rsidR="004C4B2D">
              <w:rPr>
                <w:rFonts w:ascii="Calibri" w:hAnsi="Calibri" w:cs="Calibri"/>
                <w:sz w:val="18"/>
                <w:szCs w:val="18"/>
              </w:rPr>
              <w:t xml:space="preserve"> </w:t>
            </w:r>
            <w:r w:rsidRPr="002D6CCF">
              <w:rPr>
                <w:rFonts w:ascii="Calibri" w:hAnsi="Calibri" w:cs="Calibri"/>
                <w:sz w:val="18"/>
                <w:szCs w:val="18"/>
              </w:rPr>
              <w:t>Depreciation</w:t>
            </w:r>
          </w:p>
        </w:tc>
        <w:tc>
          <w:tcPr>
            <w:tcW w:w="6804" w:type="dxa"/>
            <w:shd w:val="clear" w:color="auto" w:fill="auto"/>
          </w:tcPr>
          <w:p w14:paraId="1BC3796E" w14:textId="77777777" w:rsidR="00775946" w:rsidRPr="002D6CCF" w:rsidRDefault="00775946" w:rsidP="00BC0FFA">
            <w:pPr>
              <w:pStyle w:val="Default"/>
              <w:rPr>
                <w:bCs/>
                <w:iCs/>
                <w:color w:val="auto"/>
                <w:sz w:val="18"/>
                <w:szCs w:val="18"/>
              </w:rPr>
            </w:pPr>
            <w:r>
              <w:rPr>
                <w:bCs/>
                <w:iCs/>
                <w:color w:val="auto"/>
                <w:sz w:val="18"/>
                <w:szCs w:val="18"/>
              </w:rPr>
              <w:t>Covered in item f) above</w:t>
            </w:r>
          </w:p>
        </w:tc>
      </w:tr>
      <w:tr w:rsidR="00775946" w:rsidRPr="009D72C7" w14:paraId="2ADDE418" w14:textId="77777777" w:rsidTr="00BC0FFA">
        <w:tc>
          <w:tcPr>
            <w:tcW w:w="2269" w:type="dxa"/>
            <w:shd w:val="clear" w:color="auto" w:fill="auto"/>
            <w:vAlign w:val="bottom"/>
          </w:tcPr>
          <w:p w14:paraId="312CA412" w14:textId="74B670AB" w:rsidR="00775946" w:rsidRDefault="00775946" w:rsidP="00BC0FFA">
            <w:pPr>
              <w:rPr>
                <w:rFonts w:ascii="Calibri" w:hAnsi="Calibri" w:cs="Calibri"/>
                <w:sz w:val="18"/>
                <w:szCs w:val="18"/>
              </w:rPr>
            </w:pPr>
            <w:r>
              <w:rPr>
                <w:rFonts w:ascii="Calibri" w:hAnsi="Calibri" w:cs="Calibri"/>
                <w:sz w:val="18"/>
                <w:szCs w:val="18"/>
              </w:rPr>
              <w:t xml:space="preserve">3.11 Cost of capital </w:t>
            </w:r>
          </w:p>
        </w:tc>
        <w:tc>
          <w:tcPr>
            <w:tcW w:w="6804" w:type="dxa"/>
            <w:shd w:val="clear" w:color="auto" w:fill="auto"/>
          </w:tcPr>
          <w:p w14:paraId="189F1B10" w14:textId="3A22C204" w:rsidR="00775946" w:rsidRPr="002D6CCF" w:rsidRDefault="004A6F2F" w:rsidP="00D35ED1">
            <w:pPr>
              <w:pStyle w:val="Default"/>
              <w:jc w:val="both"/>
              <w:rPr>
                <w:bCs/>
                <w:iCs/>
                <w:color w:val="auto"/>
                <w:sz w:val="18"/>
                <w:szCs w:val="18"/>
                <w:highlight w:val="red"/>
                <w:lang w:val="en-US"/>
              </w:rPr>
            </w:pPr>
            <w:r>
              <w:rPr>
                <w:bCs/>
                <w:iCs/>
                <w:color w:val="auto"/>
                <w:sz w:val="18"/>
                <w:szCs w:val="18"/>
              </w:rPr>
              <w:t>Covered in item f) above</w:t>
            </w:r>
          </w:p>
        </w:tc>
      </w:tr>
      <w:tr w:rsidR="00D35ED1" w:rsidRPr="00425B26" w14:paraId="3E4909B1" w14:textId="77777777" w:rsidTr="00BC0FFA">
        <w:tc>
          <w:tcPr>
            <w:tcW w:w="2269" w:type="dxa"/>
            <w:shd w:val="clear" w:color="auto" w:fill="auto"/>
            <w:vAlign w:val="center"/>
          </w:tcPr>
          <w:p w14:paraId="1D8437CD" w14:textId="160D5426" w:rsidR="00D35ED1" w:rsidRDefault="00D35ED1" w:rsidP="00D35ED1">
            <w:pPr>
              <w:rPr>
                <w:rFonts w:ascii="Calibri" w:hAnsi="Calibri" w:cs="Calibri"/>
                <w:sz w:val="18"/>
                <w:szCs w:val="18"/>
              </w:rPr>
            </w:pPr>
            <w:r>
              <w:rPr>
                <w:rFonts w:ascii="Calibri" w:hAnsi="Calibri" w:cs="Calibri"/>
                <w:sz w:val="18"/>
                <w:szCs w:val="18"/>
              </w:rPr>
              <w:t xml:space="preserve">3.12 Cost of leasing </w:t>
            </w:r>
          </w:p>
        </w:tc>
        <w:tc>
          <w:tcPr>
            <w:tcW w:w="6804" w:type="dxa"/>
            <w:shd w:val="clear" w:color="auto" w:fill="auto"/>
          </w:tcPr>
          <w:p w14:paraId="745D6718" w14:textId="4AE4F6F1" w:rsidR="00D35ED1" w:rsidRPr="002D6CCF" w:rsidRDefault="008863D2" w:rsidP="00D35ED1">
            <w:pPr>
              <w:pStyle w:val="Default"/>
              <w:jc w:val="both"/>
              <w:rPr>
                <w:bCs/>
                <w:iCs/>
                <w:color w:val="auto"/>
                <w:sz w:val="18"/>
                <w:szCs w:val="18"/>
                <w:highlight w:val="red"/>
                <w:lang w:val="en-US"/>
              </w:rPr>
            </w:pPr>
            <w:r w:rsidRPr="008863D2">
              <w:rPr>
                <w:bCs/>
                <w:iCs/>
                <w:color w:val="auto"/>
                <w:sz w:val="18"/>
                <w:szCs w:val="18"/>
                <w:lang w:val="en-US"/>
              </w:rPr>
              <w:t>Not applicable</w:t>
            </w:r>
          </w:p>
        </w:tc>
      </w:tr>
    </w:tbl>
    <w:p w14:paraId="13059C74" w14:textId="77777777" w:rsidR="003D6459" w:rsidRPr="00785EE8" w:rsidRDefault="003D6459" w:rsidP="001E4F4B">
      <w:pPr>
        <w:pStyle w:val="Default"/>
        <w:jc w:val="both"/>
        <w:rPr>
          <w:rFonts w:ascii="Arial" w:hAnsi="Arial" w:cs="Arial"/>
          <w:color w:val="17365D"/>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6804"/>
      </w:tblGrid>
      <w:tr w:rsidR="009203C2" w:rsidRPr="006C2F02" w14:paraId="6222CED2" w14:textId="77777777" w:rsidTr="00D35ED1">
        <w:trPr>
          <w:trHeight w:val="210"/>
        </w:trPr>
        <w:tc>
          <w:tcPr>
            <w:tcW w:w="9073" w:type="dxa"/>
            <w:gridSpan w:val="2"/>
            <w:shd w:val="clear" w:color="auto" w:fill="auto"/>
          </w:tcPr>
          <w:p w14:paraId="594FB6C0" w14:textId="77777777" w:rsidR="009203C2" w:rsidRPr="006C2F02" w:rsidRDefault="009203C2" w:rsidP="002D6CCF">
            <w:pPr>
              <w:pStyle w:val="Default"/>
              <w:rPr>
                <w:b/>
                <w:color w:val="auto"/>
                <w:sz w:val="18"/>
                <w:szCs w:val="18"/>
              </w:rPr>
            </w:pPr>
            <w:proofErr w:type="spellStart"/>
            <w:r>
              <w:rPr>
                <w:b/>
                <w:color w:val="auto"/>
                <w:sz w:val="18"/>
                <w:szCs w:val="18"/>
              </w:rPr>
              <w:t>Eurocontrol</w:t>
            </w:r>
            <w:proofErr w:type="spellEnd"/>
            <w:r>
              <w:rPr>
                <w:b/>
                <w:color w:val="auto"/>
                <w:sz w:val="18"/>
                <w:szCs w:val="18"/>
              </w:rPr>
              <w:t xml:space="preserve"> costs</w:t>
            </w:r>
          </w:p>
        </w:tc>
      </w:tr>
      <w:tr w:rsidR="00D35ED1" w:rsidRPr="00D4056A" w14:paraId="32FDF643" w14:textId="77777777" w:rsidTr="00D35ED1">
        <w:tc>
          <w:tcPr>
            <w:tcW w:w="2269" w:type="dxa"/>
            <w:shd w:val="clear" w:color="auto" w:fill="auto"/>
            <w:vAlign w:val="bottom"/>
          </w:tcPr>
          <w:p w14:paraId="6C653DC8" w14:textId="77777777" w:rsidR="00D35ED1" w:rsidRDefault="00D35ED1" w:rsidP="00D35ED1">
            <w:pPr>
              <w:spacing w:before="0" w:after="0"/>
              <w:jc w:val="left"/>
              <w:rPr>
                <w:rFonts w:ascii="Calibri" w:hAnsi="Calibri" w:cs="Calibri"/>
                <w:sz w:val="18"/>
                <w:szCs w:val="18"/>
              </w:rPr>
            </w:pPr>
            <w:r>
              <w:rPr>
                <w:rFonts w:ascii="Calibri" w:hAnsi="Calibri" w:cs="Calibri"/>
                <w:sz w:val="18"/>
                <w:szCs w:val="18"/>
              </w:rPr>
              <w:t xml:space="preserve">3.13 </w:t>
            </w:r>
            <w:proofErr w:type="spellStart"/>
            <w:r>
              <w:rPr>
                <w:rFonts w:ascii="Calibri" w:hAnsi="Calibri" w:cs="Calibri"/>
                <w:sz w:val="18"/>
                <w:szCs w:val="18"/>
              </w:rPr>
              <w:t>Eurocontrol</w:t>
            </w:r>
            <w:proofErr w:type="spellEnd"/>
            <w:r>
              <w:rPr>
                <w:rFonts w:ascii="Calibri" w:hAnsi="Calibri" w:cs="Calibri"/>
                <w:sz w:val="18"/>
                <w:szCs w:val="18"/>
              </w:rPr>
              <w:t xml:space="preserve"> costs (Euro)</w:t>
            </w:r>
          </w:p>
        </w:tc>
        <w:tc>
          <w:tcPr>
            <w:tcW w:w="6804" w:type="dxa"/>
            <w:shd w:val="clear" w:color="auto" w:fill="auto"/>
          </w:tcPr>
          <w:p w14:paraId="0300064A" w14:textId="4E107331" w:rsidR="00D35ED1" w:rsidRPr="00A24C05" w:rsidRDefault="00A24C05" w:rsidP="00D35ED1">
            <w:pPr>
              <w:pStyle w:val="Default"/>
              <w:jc w:val="both"/>
              <w:rPr>
                <w:bCs/>
                <w:iCs/>
                <w:color w:val="auto"/>
                <w:sz w:val="18"/>
                <w:szCs w:val="18"/>
                <w:highlight w:val="yellow"/>
                <w:lang w:val="en-US"/>
              </w:rPr>
            </w:pPr>
            <w:r w:rsidRPr="00427C81">
              <w:rPr>
                <w:bCs/>
                <w:iCs/>
                <w:color w:val="auto"/>
                <w:sz w:val="18"/>
                <w:szCs w:val="18"/>
                <w:lang w:val="en-US"/>
              </w:rPr>
              <w:t>Forecast EUROCONTROL cost-base 2022-2026 figures presented to the Standing Committee on Finance on 13 October 202</w:t>
            </w:r>
            <w:r w:rsidR="006F505A" w:rsidRPr="00427C81">
              <w:rPr>
                <w:bCs/>
                <w:iCs/>
                <w:color w:val="auto"/>
                <w:sz w:val="18"/>
                <w:szCs w:val="18"/>
                <w:lang w:val="en-US"/>
              </w:rPr>
              <w:t>1.</w:t>
            </w:r>
          </w:p>
        </w:tc>
      </w:tr>
      <w:tr w:rsidR="007D4278" w:rsidRPr="007E18C5" w14:paraId="6A18A804" w14:textId="77777777" w:rsidTr="00D35ED1">
        <w:tc>
          <w:tcPr>
            <w:tcW w:w="2269" w:type="dxa"/>
            <w:shd w:val="clear" w:color="auto" w:fill="auto"/>
            <w:vAlign w:val="bottom"/>
          </w:tcPr>
          <w:p w14:paraId="53DD36B7" w14:textId="247B7147" w:rsidR="007D4278" w:rsidRDefault="007D4278" w:rsidP="004C4B2D">
            <w:pPr>
              <w:spacing w:before="0" w:after="0"/>
              <w:jc w:val="left"/>
              <w:rPr>
                <w:rFonts w:ascii="Calibri" w:hAnsi="Calibri" w:cs="Calibri"/>
                <w:sz w:val="18"/>
                <w:szCs w:val="18"/>
              </w:rPr>
            </w:pPr>
            <w:r>
              <w:rPr>
                <w:rFonts w:ascii="Calibri" w:hAnsi="Calibri" w:cs="Calibri"/>
                <w:sz w:val="18"/>
                <w:szCs w:val="18"/>
              </w:rPr>
              <w:t>3.14</w:t>
            </w:r>
            <w:r w:rsidR="004C4B2D">
              <w:rPr>
                <w:rFonts w:ascii="Calibri" w:hAnsi="Calibri" w:cs="Calibri"/>
                <w:sz w:val="18"/>
                <w:szCs w:val="18"/>
              </w:rPr>
              <w:t xml:space="preserve"> </w:t>
            </w:r>
            <w:r>
              <w:rPr>
                <w:rFonts w:ascii="Calibri" w:hAnsi="Calibri" w:cs="Calibri"/>
                <w:sz w:val="18"/>
                <w:szCs w:val="18"/>
              </w:rPr>
              <w:t>Exchange</w:t>
            </w:r>
            <w:r w:rsidR="004C4B2D">
              <w:rPr>
                <w:rFonts w:ascii="Calibri" w:hAnsi="Calibri" w:cs="Calibri"/>
                <w:sz w:val="18"/>
                <w:szCs w:val="18"/>
              </w:rPr>
              <w:t xml:space="preserve"> </w:t>
            </w:r>
            <w:r>
              <w:rPr>
                <w:rFonts w:ascii="Calibri" w:hAnsi="Calibri" w:cs="Calibri"/>
                <w:sz w:val="18"/>
                <w:szCs w:val="18"/>
              </w:rPr>
              <w:t>rate</w:t>
            </w:r>
            <w:r w:rsidR="004C4B2D">
              <w:rPr>
                <w:rFonts w:ascii="Calibri" w:hAnsi="Calibri" w:cs="Calibri"/>
                <w:sz w:val="18"/>
                <w:szCs w:val="18"/>
              </w:rPr>
              <w:t xml:space="preserve"> </w:t>
            </w:r>
            <w:r>
              <w:rPr>
                <w:rFonts w:ascii="Calibri" w:hAnsi="Calibri" w:cs="Calibri"/>
                <w:sz w:val="18"/>
                <w:szCs w:val="18"/>
              </w:rPr>
              <w:t>(if applicable)</w:t>
            </w:r>
          </w:p>
        </w:tc>
        <w:tc>
          <w:tcPr>
            <w:tcW w:w="6804" w:type="dxa"/>
            <w:shd w:val="clear" w:color="auto" w:fill="auto"/>
          </w:tcPr>
          <w:p w14:paraId="78FC83CE" w14:textId="0DAEEE93" w:rsidR="007E18C5" w:rsidRPr="006807C7" w:rsidRDefault="007E18C5" w:rsidP="007D4278">
            <w:pPr>
              <w:pStyle w:val="Default"/>
              <w:jc w:val="both"/>
              <w:rPr>
                <w:bCs/>
                <w:iCs/>
                <w:color w:val="auto"/>
                <w:sz w:val="18"/>
                <w:szCs w:val="18"/>
                <w:lang w:val="en-US"/>
              </w:rPr>
            </w:pPr>
            <w:r w:rsidRPr="006807C7">
              <w:rPr>
                <w:bCs/>
                <w:iCs/>
                <w:color w:val="auto"/>
                <w:sz w:val="18"/>
                <w:szCs w:val="18"/>
                <w:lang w:val="en-US"/>
              </w:rPr>
              <w:t xml:space="preserve">2020: 10,7208 (Average 2020 </w:t>
            </w:r>
            <w:r w:rsidR="00E14C97" w:rsidRPr="006807C7">
              <w:rPr>
                <w:bCs/>
                <w:iCs/>
                <w:color w:val="auto"/>
                <w:sz w:val="18"/>
                <w:szCs w:val="18"/>
                <w:lang w:val="en-US"/>
              </w:rPr>
              <w:t>e</w:t>
            </w:r>
            <w:r w:rsidR="004B18B6" w:rsidRPr="006807C7">
              <w:rPr>
                <w:bCs/>
                <w:iCs/>
                <w:color w:val="auto"/>
                <w:sz w:val="18"/>
                <w:szCs w:val="18"/>
                <w:lang w:val="en-US"/>
              </w:rPr>
              <w:t xml:space="preserve">xchange rate by </w:t>
            </w:r>
            <w:r w:rsidRPr="006807C7">
              <w:rPr>
                <w:bCs/>
                <w:iCs/>
                <w:color w:val="auto"/>
                <w:sz w:val="18"/>
                <w:szCs w:val="18"/>
                <w:lang w:val="en-US"/>
              </w:rPr>
              <w:t>Reuters).</w:t>
            </w:r>
          </w:p>
          <w:p w14:paraId="770BB95D" w14:textId="54ED5B97" w:rsidR="004B18B6" w:rsidRPr="006807C7" w:rsidRDefault="004B18B6" w:rsidP="007D4278">
            <w:pPr>
              <w:pStyle w:val="Default"/>
              <w:jc w:val="both"/>
              <w:rPr>
                <w:bCs/>
                <w:iCs/>
                <w:color w:val="auto"/>
                <w:sz w:val="18"/>
                <w:szCs w:val="18"/>
                <w:lang w:val="en-US"/>
              </w:rPr>
            </w:pPr>
            <w:r w:rsidRPr="006807C7">
              <w:rPr>
                <w:bCs/>
                <w:iCs/>
                <w:color w:val="auto"/>
                <w:sz w:val="18"/>
                <w:szCs w:val="18"/>
                <w:lang w:val="en-US"/>
              </w:rPr>
              <w:t xml:space="preserve">2021: 10,779 (Average September 2020 </w:t>
            </w:r>
            <w:r w:rsidR="00E14C97" w:rsidRPr="006807C7">
              <w:rPr>
                <w:bCs/>
                <w:iCs/>
                <w:color w:val="auto"/>
                <w:sz w:val="18"/>
                <w:szCs w:val="18"/>
                <w:lang w:val="en-US"/>
              </w:rPr>
              <w:t>e</w:t>
            </w:r>
            <w:r w:rsidRPr="006807C7">
              <w:rPr>
                <w:bCs/>
                <w:iCs/>
                <w:color w:val="auto"/>
                <w:sz w:val="18"/>
                <w:szCs w:val="18"/>
                <w:lang w:val="en-US"/>
              </w:rPr>
              <w:t>xchange rate by Reuters</w:t>
            </w:r>
          </w:p>
          <w:p w14:paraId="6888FB2C" w14:textId="42254EB9" w:rsidR="007D4278" w:rsidRPr="006807C7" w:rsidRDefault="004B18B6" w:rsidP="007D4278">
            <w:pPr>
              <w:pStyle w:val="Default"/>
              <w:jc w:val="both"/>
              <w:rPr>
                <w:bCs/>
                <w:iCs/>
                <w:color w:val="FF0000"/>
                <w:sz w:val="18"/>
                <w:szCs w:val="18"/>
                <w:highlight w:val="red"/>
                <w:lang w:val="en-US"/>
              </w:rPr>
            </w:pPr>
            <w:r w:rsidRPr="00427C81">
              <w:rPr>
                <w:bCs/>
                <w:iCs/>
                <w:color w:val="auto"/>
                <w:sz w:val="18"/>
                <w:szCs w:val="18"/>
                <w:lang w:val="en-US"/>
              </w:rPr>
              <w:t>2022</w:t>
            </w:r>
            <w:r w:rsidR="007E18C5" w:rsidRPr="00427C81">
              <w:rPr>
                <w:bCs/>
                <w:iCs/>
                <w:color w:val="auto"/>
                <w:sz w:val="18"/>
                <w:szCs w:val="18"/>
                <w:lang w:val="en-US"/>
              </w:rPr>
              <w:t xml:space="preserve">-2024: </w:t>
            </w:r>
            <w:r w:rsidR="00A24C05" w:rsidRPr="00427C81">
              <w:rPr>
                <w:bCs/>
                <w:iCs/>
                <w:color w:val="auto"/>
                <w:sz w:val="18"/>
                <w:szCs w:val="18"/>
                <w:lang w:val="en-US"/>
              </w:rPr>
              <w:t xml:space="preserve">10,191 </w:t>
            </w:r>
            <w:r w:rsidR="007E18C5" w:rsidRPr="00427C81">
              <w:rPr>
                <w:bCs/>
                <w:iCs/>
                <w:color w:val="auto"/>
                <w:sz w:val="18"/>
                <w:szCs w:val="18"/>
                <w:lang w:val="en-US"/>
              </w:rPr>
              <w:t xml:space="preserve">(Average </w:t>
            </w:r>
            <w:r w:rsidRPr="00427C81">
              <w:rPr>
                <w:bCs/>
                <w:iCs/>
                <w:color w:val="auto"/>
                <w:sz w:val="18"/>
                <w:szCs w:val="18"/>
                <w:lang w:val="en-US"/>
              </w:rPr>
              <w:t xml:space="preserve">April 2021 </w:t>
            </w:r>
            <w:r w:rsidR="00E14C97" w:rsidRPr="00427C81">
              <w:rPr>
                <w:bCs/>
                <w:iCs/>
                <w:color w:val="auto"/>
                <w:sz w:val="18"/>
                <w:szCs w:val="18"/>
                <w:lang w:val="en-US"/>
              </w:rPr>
              <w:t>e</w:t>
            </w:r>
            <w:r w:rsidRPr="00427C81">
              <w:rPr>
                <w:bCs/>
                <w:iCs/>
                <w:color w:val="auto"/>
                <w:sz w:val="18"/>
                <w:szCs w:val="18"/>
                <w:lang w:val="en-US"/>
              </w:rPr>
              <w:t xml:space="preserve">xchange rate by </w:t>
            </w:r>
            <w:r w:rsidR="007E18C5" w:rsidRPr="00427C81">
              <w:rPr>
                <w:bCs/>
                <w:iCs/>
                <w:color w:val="auto"/>
                <w:sz w:val="18"/>
                <w:szCs w:val="18"/>
                <w:lang w:val="en-US"/>
              </w:rPr>
              <w:t>Reuters)</w:t>
            </w:r>
          </w:p>
        </w:tc>
      </w:tr>
    </w:tbl>
    <w:p w14:paraId="4EF283E9" w14:textId="5F0E5F03" w:rsidR="00352E4E" w:rsidRDefault="00352E4E" w:rsidP="00352E4E">
      <w:pPr>
        <w:pStyle w:val="Default"/>
        <w:jc w:val="both"/>
        <w:rPr>
          <w:rFonts w:ascii="Arial" w:hAnsi="Arial" w:cs="Arial"/>
          <w:color w:val="17365D"/>
          <w:sz w:val="20"/>
          <w:szCs w:val="20"/>
          <w:lang w:val="en-US"/>
        </w:rPr>
      </w:pPr>
    </w:p>
    <w:p w14:paraId="455FE728" w14:textId="77777777" w:rsidR="00A67C31" w:rsidRPr="006807C7" w:rsidRDefault="00A67C31" w:rsidP="00352E4E">
      <w:pPr>
        <w:pStyle w:val="Default"/>
        <w:jc w:val="both"/>
        <w:rPr>
          <w:rFonts w:ascii="Arial" w:hAnsi="Arial" w:cs="Arial"/>
          <w:color w:val="17365D"/>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352E4E" w:rsidRPr="00CA5B88" w14:paraId="6F554361" w14:textId="77777777" w:rsidTr="00A67C31">
        <w:tc>
          <w:tcPr>
            <w:tcW w:w="9060" w:type="dxa"/>
            <w:shd w:val="clear" w:color="auto" w:fill="C6D9F1"/>
          </w:tcPr>
          <w:p w14:paraId="54D44B30" w14:textId="77777777" w:rsidR="00352E4E" w:rsidRPr="00CA5B88" w:rsidRDefault="00352E4E" w:rsidP="00352E4E">
            <w:pPr>
              <w:pStyle w:val="Default"/>
              <w:spacing w:before="60" w:after="60"/>
              <w:jc w:val="both"/>
              <w:rPr>
                <w:rFonts w:ascii="Arial" w:hAnsi="Arial" w:cs="Arial"/>
                <w:b/>
                <w:color w:val="17365D"/>
                <w:sz w:val="20"/>
                <w:szCs w:val="20"/>
              </w:rPr>
            </w:pPr>
            <w:bookmarkStart w:id="0" w:name="_Hlk72234512"/>
            <w:proofErr w:type="spellStart"/>
            <w:r>
              <w:rPr>
                <w:rFonts w:ascii="Arial" w:hAnsi="Arial" w:cs="Arial"/>
                <w:b/>
                <w:color w:val="17365D"/>
                <w:sz w:val="20"/>
                <w:szCs w:val="20"/>
              </w:rPr>
              <w:t>i</w:t>
            </w:r>
            <w:proofErr w:type="spellEnd"/>
            <w:r w:rsidRPr="00CA5B88">
              <w:rPr>
                <w:rFonts w:ascii="Arial" w:hAnsi="Arial" w:cs="Arial"/>
                <w:b/>
                <w:color w:val="17365D"/>
                <w:sz w:val="20"/>
                <w:szCs w:val="20"/>
              </w:rPr>
              <w:t xml:space="preserve">) </w:t>
            </w:r>
            <w:r>
              <w:rPr>
                <w:rFonts w:ascii="Arial" w:hAnsi="Arial" w:cs="Arial"/>
                <w:b/>
                <w:color w:val="17365D"/>
                <w:sz w:val="20"/>
                <w:szCs w:val="20"/>
              </w:rPr>
              <w:t>F</w:t>
            </w:r>
            <w:r w:rsidRPr="00352E4E">
              <w:rPr>
                <w:rFonts w:ascii="Arial" w:hAnsi="Arial" w:cs="Arial"/>
                <w:b/>
                <w:color w:val="17365D"/>
                <w:sz w:val="20"/>
                <w:szCs w:val="20"/>
              </w:rPr>
              <w:t>or each entity, description of the assumptions used to compute the cost of capital (point 1.4 of Table 1), including the composition of the asset base, the return on equity, the average interest on debts and the shares of financing of the asset base through debt and equity;</w:t>
            </w:r>
          </w:p>
        </w:tc>
      </w:tr>
    </w:tbl>
    <w:p w14:paraId="3506E35D" w14:textId="77777777" w:rsidR="00775946" w:rsidRPr="00601109" w:rsidRDefault="00775946" w:rsidP="00601109">
      <w:pPr>
        <w:pStyle w:val="Default"/>
        <w:jc w:val="both"/>
        <w:rPr>
          <w:rFonts w:ascii="Arial" w:hAnsi="Arial" w:cs="Arial"/>
          <w:color w:val="17365D"/>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644"/>
        <w:gridCol w:w="996"/>
        <w:gridCol w:w="997"/>
        <w:gridCol w:w="997"/>
        <w:gridCol w:w="997"/>
        <w:gridCol w:w="1060"/>
      </w:tblGrid>
      <w:tr w:rsidR="005C630C" w:rsidRPr="006C2F02" w14:paraId="64F7F17F" w14:textId="77777777" w:rsidTr="002C4F49">
        <w:trPr>
          <w:trHeight w:val="230"/>
        </w:trPr>
        <w:tc>
          <w:tcPr>
            <w:tcW w:w="9067" w:type="dxa"/>
            <w:gridSpan w:val="7"/>
            <w:shd w:val="clear" w:color="auto" w:fill="auto"/>
          </w:tcPr>
          <w:p w14:paraId="01FD1414" w14:textId="3EB801D1" w:rsidR="005C630C" w:rsidRPr="006C2F02" w:rsidRDefault="007D4278" w:rsidP="00A32498">
            <w:pPr>
              <w:pStyle w:val="Default"/>
              <w:jc w:val="center"/>
              <w:rPr>
                <w:b/>
                <w:color w:val="auto"/>
                <w:sz w:val="18"/>
                <w:szCs w:val="18"/>
              </w:rPr>
            </w:pPr>
            <w:proofErr w:type="spellStart"/>
            <w:r>
              <w:rPr>
                <w:b/>
                <w:color w:val="auto"/>
                <w:sz w:val="18"/>
                <w:szCs w:val="18"/>
              </w:rPr>
              <w:t>Avinor</w:t>
            </w:r>
            <w:proofErr w:type="spellEnd"/>
            <w:r>
              <w:rPr>
                <w:b/>
                <w:color w:val="auto"/>
                <w:sz w:val="18"/>
                <w:szCs w:val="18"/>
              </w:rPr>
              <w:t xml:space="preserve"> Air Navigation Services</w:t>
            </w:r>
          </w:p>
        </w:tc>
      </w:tr>
      <w:tr w:rsidR="005C630C" w:rsidRPr="009203C2" w14:paraId="5430B0B6" w14:textId="77777777" w:rsidTr="002C4F49">
        <w:trPr>
          <w:trHeight w:val="210"/>
        </w:trPr>
        <w:tc>
          <w:tcPr>
            <w:tcW w:w="9067" w:type="dxa"/>
            <w:gridSpan w:val="7"/>
            <w:shd w:val="clear" w:color="auto" w:fill="auto"/>
          </w:tcPr>
          <w:p w14:paraId="16F871C1" w14:textId="77777777" w:rsidR="005C630C" w:rsidRPr="006C459D" w:rsidRDefault="005C630C" w:rsidP="002D6CCF">
            <w:pPr>
              <w:spacing w:before="0" w:after="0"/>
              <w:jc w:val="left"/>
              <w:rPr>
                <w:rFonts w:ascii="Calibri" w:hAnsi="Calibri" w:cs="Calibri"/>
                <w:b/>
                <w:bCs/>
                <w:sz w:val="18"/>
                <w:szCs w:val="18"/>
              </w:rPr>
            </w:pPr>
            <w:r w:rsidRPr="009203C2">
              <w:rPr>
                <w:rFonts w:ascii="Calibri" w:hAnsi="Calibri" w:cs="Calibri"/>
                <w:b/>
                <w:bCs/>
                <w:sz w:val="18"/>
                <w:szCs w:val="18"/>
              </w:rPr>
              <w:t>Average asset base</w:t>
            </w:r>
          </w:p>
        </w:tc>
      </w:tr>
      <w:tr w:rsidR="007D4278" w:rsidRPr="00CA2B9B" w14:paraId="0BD0CDB4" w14:textId="77777777" w:rsidTr="002C4F49">
        <w:tc>
          <w:tcPr>
            <w:tcW w:w="2376" w:type="dxa"/>
            <w:shd w:val="clear" w:color="auto" w:fill="auto"/>
          </w:tcPr>
          <w:p w14:paraId="6AF80769" w14:textId="77777777" w:rsidR="007D4278" w:rsidRPr="009203C2" w:rsidRDefault="007D4278" w:rsidP="007D4278">
            <w:pPr>
              <w:pStyle w:val="Default"/>
              <w:rPr>
                <w:bCs/>
                <w:color w:val="auto"/>
                <w:sz w:val="18"/>
                <w:szCs w:val="18"/>
              </w:rPr>
            </w:pPr>
            <w:r w:rsidRPr="009203C2">
              <w:rPr>
                <w:bCs/>
                <w:color w:val="auto"/>
                <w:sz w:val="18"/>
                <w:szCs w:val="18"/>
              </w:rPr>
              <w:t>3.1</w:t>
            </w:r>
            <w:r>
              <w:rPr>
                <w:bCs/>
                <w:color w:val="auto"/>
                <w:sz w:val="18"/>
                <w:szCs w:val="18"/>
              </w:rPr>
              <w:t xml:space="preserve"> </w:t>
            </w:r>
            <w:r w:rsidRPr="009203C2">
              <w:rPr>
                <w:bCs/>
                <w:color w:val="auto"/>
                <w:sz w:val="18"/>
                <w:szCs w:val="18"/>
              </w:rPr>
              <w:t>N</w:t>
            </w:r>
            <w:r>
              <w:rPr>
                <w:bCs/>
                <w:color w:val="auto"/>
                <w:sz w:val="18"/>
                <w:szCs w:val="18"/>
              </w:rPr>
              <w:t>BV</w:t>
            </w:r>
            <w:r w:rsidRPr="009203C2">
              <w:rPr>
                <w:bCs/>
                <w:color w:val="auto"/>
                <w:sz w:val="18"/>
                <w:szCs w:val="18"/>
              </w:rPr>
              <w:t xml:space="preserve"> fixed assets</w:t>
            </w:r>
          </w:p>
        </w:tc>
        <w:tc>
          <w:tcPr>
            <w:tcW w:w="6691" w:type="dxa"/>
            <w:gridSpan w:val="6"/>
            <w:shd w:val="clear" w:color="auto" w:fill="auto"/>
          </w:tcPr>
          <w:p w14:paraId="48414A6B" w14:textId="729B2ED2" w:rsidR="007D4278" w:rsidRPr="007D4278" w:rsidRDefault="007D4278" w:rsidP="007D4278">
            <w:pPr>
              <w:pStyle w:val="Default"/>
              <w:rPr>
                <w:bCs/>
                <w:iCs/>
                <w:color w:val="FF0000"/>
                <w:sz w:val="18"/>
                <w:szCs w:val="18"/>
                <w:lang w:val="en-US"/>
              </w:rPr>
            </w:pPr>
            <w:r w:rsidRPr="0002647B">
              <w:rPr>
                <w:color w:val="auto"/>
                <w:sz w:val="18"/>
                <w:szCs w:val="18"/>
                <w:lang w:val="en-US"/>
              </w:rPr>
              <w:t xml:space="preserve">Based on the </w:t>
            </w:r>
            <w:r w:rsidR="00C45F9D">
              <w:rPr>
                <w:color w:val="auto"/>
                <w:sz w:val="18"/>
                <w:szCs w:val="18"/>
                <w:lang w:val="en-US"/>
              </w:rPr>
              <w:t xml:space="preserve">financial accounts </w:t>
            </w:r>
            <w:r w:rsidRPr="0002647B">
              <w:rPr>
                <w:color w:val="auto"/>
                <w:sz w:val="18"/>
                <w:szCs w:val="18"/>
                <w:lang w:val="en-US"/>
              </w:rPr>
              <w:t xml:space="preserve">for </w:t>
            </w:r>
            <w:proofErr w:type="spellStart"/>
            <w:r w:rsidRPr="0002647B">
              <w:rPr>
                <w:color w:val="auto"/>
                <w:sz w:val="18"/>
                <w:szCs w:val="18"/>
                <w:lang w:val="en-US"/>
              </w:rPr>
              <w:t>Avinor</w:t>
            </w:r>
            <w:proofErr w:type="spellEnd"/>
            <w:r w:rsidRPr="0002647B">
              <w:rPr>
                <w:color w:val="auto"/>
                <w:sz w:val="18"/>
                <w:szCs w:val="18"/>
                <w:lang w:val="en-US"/>
              </w:rPr>
              <w:t xml:space="preserve"> ANS</w:t>
            </w:r>
            <w:r w:rsidR="00C45F9D">
              <w:rPr>
                <w:color w:val="auto"/>
                <w:sz w:val="18"/>
                <w:szCs w:val="18"/>
                <w:lang w:val="en-US"/>
              </w:rPr>
              <w:t xml:space="preserve"> for 2020</w:t>
            </w:r>
            <w:r w:rsidRPr="0002647B">
              <w:rPr>
                <w:color w:val="auto"/>
                <w:sz w:val="18"/>
                <w:szCs w:val="18"/>
                <w:lang w:val="en-US"/>
              </w:rPr>
              <w:t xml:space="preserve">, and the share of fixed assets used for </w:t>
            </w:r>
            <w:proofErr w:type="spellStart"/>
            <w:r w:rsidR="00AD63E7">
              <w:rPr>
                <w:color w:val="auto"/>
                <w:sz w:val="18"/>
                <w:szCs w:val="18"/>
                <w:lang w:val="en-US"/>
              </w:rPr>
              <w:t>e</w:t>
            </w:r>
            <w:r w:rsidRPr="0002647B">
              <w:rPr>
                <w:color w:val="auto"/>
                <w:sz w:val="18"/>
                <w:szCs w:val="18"/>
                <w:lang w:val="en-US"/>
              </w:rPr>
              <w:t>n</w:t>
            </w:r>
            <w:proofErr w:type="spellEnd"/>
            <w:r w:rsidRPr="0002647B">
              <w:rPr>
                <w:color w:val="auto"/>
                <w:sz w:val="18"/>
                <w:szCs w:val="18"/>
                <w:lang w:val="en-US"/>
              </w:rPr>
              <w:t>-</w:t>
            </w:r>
            <w:r w:rsidR="00AD63E7">
              <w:rPr>
                <w:color w:val="auto"/>
                <w:sz w:val="18"/>
                <w:szCs w:val="18"/>
                <w:lang w:val="en-US"/>
              </w:rPr>
              <w:t>r</w:t>
            </w:r>
            <w:r w:rsidRPr="0002647B">
              <w:rPr>
                <w:color w:val="auto"/>
                <w:sz w:val="18"/>
                <w:szCs w:val="18"/>
                <w:lang w:val="en-US"/>
              </w:rPr>
              <w:t xml:space="preserve">oute services, less the share of </w:t>
            </w:r>
            <w:r w:rsidR="00AD63E7">
              <w:rPr>
                <w:color w:val="auto"/>
                <w:sz w:val="18"/>
                <w:szCs w:val="18"/>
                <w:u w:val="single"/>
                <w:lang w:val="en-US"/>
              </w:rPr>
              <w:t>o</w:t>
            </w:r>
            <w:r w:rsidRPr="0002647B">
              <w:rPr>
                <w:color w:val="auto"/>
                <w:sz w:val="18"/>
                <w:szCs w:val="18"/>
                <w:u w:val="single"/>
                <w:lang w:val="en-US"/>
              </w:rPr>
              <w:t>ffshore services which</w:t>
            </w:r>
            <w:r w:rsidRPr="0002647B">
              <w:rPr>
                <w:color w:val="auto"/>
                <w:sz w:val="18"/>
                <w:szCs w:val="18"/>
                <w:lang w:val="en-US"/>
              </w:rPr>
              <w:t xml:space="preserve"> is allocated to </w:t>
            </w:r>
            <w:r w:rsidR="00B323BE">
              <w:rPr>
                <w:color w:val="auto"/>
                <w:sz w:val="18"/>
                <w:szCs w:val="18"/>
                <w:lang w:val="en-US"/>
              </w:rPr>
              <w:t xml:space="preserve">a </w:t>
            </w:r>
            <w:r w:rsidRPr="0002647B">
              <w:rPr>
                <w:color w:val="auto"/>
                <w:sz w:val="18"/>
                <w:szCs w:val="18"/>
                <w:lang w:val="en-US"/>
              </w:rPr>
              <w:t>separate cost base.</w:t>
            </w:r>
            <w:r w:rsidR="00C45F9D">
              <w:rPr>
                <w:color w:val="auto"/>
                <w:sz w:val="18"/>
                <w:szCs w:val="18"/>
                <w:lang w:val="en-US"/>
              </w:rPr>
              <w:t xml:space="preserve"> The increase in asset base during RP3 is driven by the investment projects described above</w:t>
            </w:r>
            <w:r w:rsidR="00B323BE">
              <w:rPr>
                <w:color w:val="auto"/>
                <w:sz w:val="18"/>
                <w:szCs w:val="18"/>
                <w:lang w:val="en-US"/>
              </w:rPr>
              <w:t xml:space="preserve"> (1f)</w:t>
            </w:r>
            <w:r w:rsidR="00C45F9D">
              <w:rPr>
                <w:color w:val="auto"/>
                <w:sz w:val="18"/>
                <w:szCs w:val="18"/>
                <w:lang w:val="en-US"/>
              </w:rPr>
              <w:t xml:space="preserve">. </w:t>
            </w:r>
          </w:p>
        </w:tc>
      </w:tr>
      <w:tr w:rsidR="007D4278" w:rsidRPr="00CA2B9B" w14:paraId="60B6DB7C" w14:textId="77777777" w:rsidTr="002C4F49">
        <w:tc>
          <w:tcPr>
            <w:tcW w:w="2376" w:type="dxa"/>
            <w:shd w:val="clear" w:color="auto" w:fill="auto"/>
          </w:tcPr>
          <w:p w14:paraId="64703C45" w14:textId="77777777" w:rsidR="007D4278" w:rsidRPr="009203C2" w:rsidRDefault="007D4278" w:rsidP="007D4278">
            <w:pPr>
              <w:pStyle w:val="Default"/>
              <w:rPr>
                <w:bCs/>
                <w:color w:val="auto"/>
                <w:sz w:val="18"/>
                <w:szCs w:val="18"/>
              </w:rPr>
            </w:pPr>
            <w:r w:rsidRPr="009203C2">
              <w:rPr>
                <w:bCs/>
                <w:color w:val="auto"/>
                <w:sz w:val="18"/>
                <w:szCs w:val="18"/>
              </w:rPr>
              <w:t>3.2</w:t>
            </w:r>
            <w:r>
              <w:rPr>
                <w:bCs/>
                <w:color w:val="auto"/>
                <w:sz w:val="18"/>
                <w:szCs w:val="18"/>
              </w:rPr>
              <w:t xml:space="preserve"> A</w:t>
            </w:r>
            <w:r w:rsidRPr="009203C2">
              <w:rPr>
                <w:bCs/>
                <w:color w:val="auto"/>
                <w:sz w:val="18"/>
                <w:szCs w:val="18"/>
              </w:rPr>
              <w:t>djustments total assets</w:t>
            </w:r>
          </w:p>
        </w:tc>
        <w:tc>
          <w:tcPr>
            <w:tcW w:w="6691" w:type="dxa"/>
            <w:gridSpan w:val="6"/>
            <w:shd w:val="clear" w:color="auto" w:fill="auto"/>
          </w:tcPr>
          <w:p w14:paraId="40C500A7" w14:textId="2E65165E" w:rsidR="007D4278" w:rsidRPr="002F7228" w:rsidRDefault="007D4278" w:rsidP="007D4278">
            <w:pPr>
              <w:pStyle w:val="Default"/>
              <w:rPr>
                <w:bCs/>
                <w:iCs/>
                <w:color w:val="auto"/>
                <w:sz w:val="18"/>
                <w:szCs w:val="18"/>
                <w:lang w:val="en-US"/>
              </w:rPr>
            </w:pPr>
          </w:p>
        </w:tc>
      </w:tr>
      <w:tr w:rsidR="007D4278" w:rsidRPr="009D72C7" w14:paraId="5F52308D" w14:textId="77777777" w:rsidTr="002C4F49">
        <w:tc>
          <w:tcPr>
            <w:tcW w:w="2376" w:type="dxa"/>
            <w:shd w:val="clear" w:color="auto" w:fill="auto"/>
            <w:vAlign w:val="bottom"/>
          </w:tcPr>
          <w:p w14:paraId="620F1590" w14:textId="1582326D" w:rsidR="007D4278" w:rsidRPr="009203C2" w:rsidRDefault="007D4278" w:rsidP="007D4278">
            <w:pPr>
              <w:spacing w:before="0" w:after="0"/>
              <w:jc w:val="left"/>
              <w:rPr>
                <w:rFonts w:ascii="Calibri" w:hAnsi="Calibri" w:cs="Calibri"/>
                <w:sz w:val="18"/>
                <w:szCs w:val="18"/>
                <w:lang w:val="fr-BE" w:eastAsia="fr-BE"/>
              </w:rPr>
            </w:pPr>
            <w:r w:rsidRPr="009203C2">
              <w:rPr>
                <w:rFonts w:ascii="Calibri" w:hAnsi="Calibri" w:cs="Calibri"/>
                <w:sz w:val="18"/>
                <w:szCs w:val="18"/>
                <w:lang w:val="fr-BE" w:eastAsia="fr-BE"/>
              </w:rPr>
              <w:t>3.3 Net current assets</w:t>
            </w:r>
          </w:p>
        </w:tc>
        <w:tc>
          <w:tcPr>
            <w:tcW w:w="6691" w:type="dxa"/>
            <w:gridSpan w:val="6"/>
            <w:shd w:val="clear" w:color="auto" w:fill="auto"/>
          </w:tcPr>
          <w:p w14:paraId="77BB1644" w14:textId="4E5081FC" w:rsidR="007D4278" w:rsidRPr="002F7228" w:rsidRDefault="007D4278" w:rsidP="007D4278">
            <w:pPr>
              <w:pStyle w:val="Default"/>
              <w:jc w:val="both"/>
              <w:rPr>
                <w:bCs/>
                <w:iCs/>
                <w:color w:val="auto"/>
                <w:sz w:val="18"/>
                <w:szCs w:val="18"/>
                <w:lang w:val="en-US"/>
              </w:rPr>
            </w:pPr>
            <w:r w:rsidRPr="00472590">
              <w:rPr>
                <w:color w:val="auto"/>
                <w:sz w:val="18"/>
                <w:szCs w:val="18"/>
                <w:lang w:val="en-US"/>
              </w:rPr>
              <w:t xml:space="preserve">Based on the financial </w:t>
            </w:r>
            <w:r w:rsidR="00C45F9D">
              <w:rPr>
                <w:color w:val="auto"/>
                <w:sz w:val="18"/>
                <w:szCs w:val="18"/>
                <w:lang w:val="en-US"/>
              </w:rPr>
              <w:t>accounts</w:t>
            </w:r>
            <w:r w:rsidRPr="00472590">
              <w:rPr>
                <w:color w:val="auto"/>
                <w:sz w:val="18"/>
                <w:szCs w:val="18"/>
                <w:lang w:val="en-US"/>
              </w:rPr>
              <w:t xml:space="preserve"> for </w:t>
            </w:r>
            <w:proofErr w:type="spellStart"/>
            <w:r w:rsidRPr="00472590">
              <w:rPr>
                <w:color w:val="auto"/>
                <w:sz w:val="18"/>
                <w:szCs w:val="18"/>
                <w:lang w:val="en-US"/>
              </w:rPr>
              <w:t>Avinor</w:t>
            </w:r>
            <w:proofErr w:type="spellEnd"/>
            <w:r w:rsidRPr="00472590">
              <w:rPr>
                <w:color w:val="auto"/>
                <w:sz w:val="18"/>
                <w:szCs w:val="18"/>
                <w:lang w:val="en-US"/>
              </w:rPr>
              <w:t xml:space="preserve"> ANS</w:t>
            </w:r>
            <w:r w:rsidR="00C45F9D">
              <w:rPr>
                <w:color w:val="auto"/>
                <w:sz w:val="18"/>
                <w:szCs w:val="18"/>
                <w:lang w:val="en-US"/>
              </w:rPr>
              <w:t xml:space="preserve"> for 2020</w:t>
            </w:r>
            <w:r w:rsidRPr="00472590">
              <w:rPr>
                <w:color w:val="auto"/>
                <w:sz w:val="18"/>
                <w:szCs w:val="18"/>
                <w:lang w:val="en-US"/>
              </w:rPr>
              <w:t xml:space="preserve">, and the share of fixed assets used for </w:t>
            </w:r>
            <w:proofErr w:type="spellStart"/>
            <w:r w:rsidR="00AD63E7">
              <w:rPr>
                <w:color w:val="auto"/>
                <w:sz w:val="18"/>
                <w:szCs w:val="18"/>
                <w:lang w:val="en-US"/>
              </w:rPr>
              <w:t>e</w:t>
            </w:r>
            <w:r w:rsidRPr="00472590">
              <w:rPr>
                <w:color w:val="auto"/>
                <w:sz w:val="18"/>
                <w:szCs w:val="18"/>
                <w:lang w:val="en-US"/>
              </w:rPr>
              <w:t>n</w:t>
            </w:r>
            <w:proofErr w:type="spellEnd"/>
            <w:r w:rsidRPr="00472590">
              <w:rPr>
                <w:color w:val="auto"/>
                <w:sz w:val="18"/>
                <w:szCs w:val="18"/>
                <w:lang w:val="en-US"/>
              </w:rPr>
              <w:t>-</w:t>
            </w:r>
            <w:r w:rsidR="00AD63E7">
              <w:rPr>
                <w:color w:val="auto"/>
                <w:sz w:val="18"/>
                <w:szCs w:val="18"/>
                <w:lang w:val="en-US"/>
              </w:rPr>
              <w:t>r</w:t>
            </w:r>
            <w:r w:rsidRPr="00472590">
              <w:rPr>
                <w:color w:val="auto"/>
                <w:sz w:val="18"/>
                <w:szCs w:val="18"/>
                <w:lang w:val="en-US"/>
              </w:rPr>
              <w:t xml:space="preserve">oute services and the share of working capital related to </w:t>
            </w:r>
            <w:proofErr w:type="spellStart"/>
            <w:r w:rsidR="00AD63E7">
              <w:rPr>
                <w:color w:val="auto"/>
                <w:sz w:val="18"/>
                <w:szCs w:val="18"/>
                <w:lang w:val="en-US"/>
              </w:rPr>
              <w:t>e</w:t>
            </w:r>
            <w:r w:rsidRPr="00472590">
              <w:rPr>
                <w:color w:val="auto"/>
                <w:sz w:val="18"/>
                <w:szCs w:val="18"/>
                <w:lang w:val="en-US"/>
              </w:rPr>
              <w:t>n</w:t>
            </w:r>
            <w:proofErr w:type="spellEnd"/>
            <w:r w:rsidRPr="00472590">
              <w:rPr>
                <w:color w:val="auto"/>
                <w:sz w:val="18"/>
                <w:szCs w:val="18"/>
                <w:lang w:val="en-US"/>
              </w:rPr>
              <w:t>-</w:t>
            </w:r>
            <w:r w:rsidR="00AD63E7">
              <w:rPr>
                <w:color w:val="auto"/>
                <w:sz w:val="18"/>
                <w:szCs w:val="18"/>
                <w:lang w:val="en-US"/>
              </w:rPr>
              <w:t>r</w:t>
            </w:r>
            <w:r w:rsidRPr="00472590">
              <w:rPr>
                <w:color w:val="auto"/>
                <w:sz w:val="18"/>
                <w:szCs w:val="18"/>
                <w:lang w:val="en-US"/>
              </w:rPr>
              <w:t xml:space="preserve">oute services, less the share of </w:t>
            </w:r>
            <w:r w:rsidR="00AD63E7">
              <w:rPr>
                <w:color w:val="auto"/>
                <w:sz w:val="18"/>
                <w:szCs w:val="18"/>
                <w:lang w:val="en-US"/>
              </w:rPr>
              <w:t>o</w:t>
            </w:r>
            <w:r w:rsidRPr="00472590">
              <w:rPr>
                <w:color w:val="auto"/>
                <w:sz w:val="18"/>
                <w:szCs w:val="18"/>
                <w:lang w:val="en-US"/>
              </w:rPr>
              <w:t xml:space="preserve">ffshore services which is allocates to </w:t>
            </w:r>
            <w:r w:rsidR="00B323BE">
              <w:rPr>
                <w:color w:val="auto"/>
                <w:sz w:val="18"/>
                <w:szCs w:val="18"/>
                <w:lang w:val="en-US"/>
              </w:rPr>
              <w:t xml:space="preserve">a </w:t>
            </w:r>
            <w:r w:rsidRPr="00472590">
              <w:rPr>
                <w:color w:val="auto"/>
                <w:sz w:val="18"/>
                <w:szCs w:val="18"/>
                <w:lang w:val="en-US"/>
              </w:rPr>
              <w:t>separate cost base.</w:t>
            </w:r>
            <w:r w:rsidR="00C45F9D">
              <w:rPr>
                <w:color w:val="auto"/>
                <w:sz w:val="18"/>
                <w:szCs w:val="18"/>
                <w:lang w:val="en-US"/>
              </w:rPr>
              <w:t xml:space="preserve"> </w:t>
            </w:r>
          </w:p>
        </w:tc>
      </w:tr>
      <w:tr w:rsidR="007D4278" w:rsidRPr="006C2F02" w14:paraId="5B24A27E" w14:textId="77777777" w:rsidTr="002C4F49">
        <w:trPr>
          <w:trHeight w:val="210"/>
        </w:trPr>
        <w:tc>
          <w:tcPr>
            <w:tcW w:w="9067" w:type="dxa"/>
            <w:gridSpan w:val="7"/>
            <w:shd w:val="clear" w:color="auto" w:fill="auto"/>
          </w:tcPr>
          <w:p w14:paraId="6F1D892E" w14:textId="77777777" w:rsidR="007D4278" w:rsidRPr="006C459D" w:rsidRDefault="007D4278" w:rsidP="007D4278">
            <w:pPr>
              <w:spacing w:before="0" w:after="0"/>
              <w:jc w:val="left"/>
              <w:rPr>
                <w:rFonts w:ascii="Calibri" w:hAnsi="Calibri" w:cs="Calibri"/>
                <w:b/>
                <w:bCs/>
                <w:sz w:val="18"/>
                <w:szCs w:val="18"/>
              </w:rPr>
            </w:pPr>
            <w:r>
              <w:rPr>
                <w:rFonts w:ascii="Calibri" w:hAnsi="Calibri" w:cs="Calibri"/>
                <w:b/>
                <w:bCs/>
                <w:sz w:val="18"/>
                <w:szCs w:val="18"/>
              </w:rPr>
              <w:t>Cost of capital %</w:t>
            </w:r>
          </w:p>
        </w:tc>
      </w:tr>
      <w:tr w:rsidR="007D4278" w:rsidRPr="00470900" w14:paraId="7FFE5918" w14:textId="77777777" w:rsidTr="002C4F49">
        <w:tc>
          <w:tcPr>
            <w:tcW w:w="2376" w:type="dxa"/>
            <w:shd w:val="clear" w:color="auto" w:fill="auto"/>
            <w:vAlign w:val="center"/>
          </w:tcPr>
          <w:p w14:paraId="277AB47C" w14:textId="77777777" w:rsidR="007D4278" w:rsidRPr="00470900" w:rsidRDefault="007D4278" w:rsidP="007D4278">
            <w:pPr>
              <w:pStyle w:val="Default"/>
              <w:rPr>
                <w:bCs/>
                <w:color w:val="auto"/>
                <w:sz w:val="18"/>
                <w:szCs w:val="18"/>
              </w:rPr>
            </w:pPr>
            <w:r w:rsidRPr="00470900">
              <w:rPr>
                <w:bCs/>
                <w:color w:val="auto"/>
                <w:sz w:val="18"/>
                <w:szCs w:val="18"/>
              </w:rPr>
              <w:t>3.6 Return on equity</w:t>
            </w:r>
          </w:p>
        </w:tc>
        <w:tc>
          <w:tcPr>
            <w:tcW w:w="6691" w:type="dxa"/>
            <w:gridSpan w:val="6"/>
            <w:shd w:val="clear" w:color="auto" w:fill="auto"/>
          </w:tcPr>
          <w:p w14:paraId="296AC46D" w14:textId="5D1B3A6C" w:rsidR="007D4278" w:rsidRPr="00470900" w:rsidRDefault="007861E1" w:rsidP="007D4278">
            <w:pPr>
              <w:pStyle w:val="Default"/>
              <w:rPr>
                <w:bCs/>
                <w:color w:val="auto"/>
                <w:sz w:val="18"/>
                <w:szCs w:val="18"/>
              </w:rPr>
            </w:pPr>
            <w:r>
              <w:rPr>
                <w:bCs/>
                <w:color w:val="auto"/>
                <w:sz w:val="18"/>
                <w:szCs w:val="18"/>
              </w:rPr>
              <w:t xml:space="preserve">Return on equity before tax is set to </w:t>
            </w:r>
            <w:r w:rsidR="0006125E">
              <w:rPr>
                <w:bCs/>
                <w:color w:val="auto"/>
                <w:sz w:val="18"/>
                <w:szCs w:val="18"/>
              </w:rPr>
              <w:t>10,20</w:t>
            </w:r>
            <w:r>
              <w:rPr>
                <w:bCs/>
                <w:color w:val="auto"/>
                <w:sz w:val="18"/>
                <w:szCs w:val="18"/>
              </w:rPr>
              <w:t>% b</w:t>
            </w:r>
            <w:proofErr w:type="spellStart"/>
            <w:r>
              <w:rPr>
                <w:bCs/>
                <w:iCs/>
                <w:color w:val="auto"/>
                <w:sz w:val="18"/>
                <w:szCs w:val="18"/>
                <w:lang w:val="en-US"/>
              </w:rPr>
              <w:t>ased</w:t>
            </w:r>
            <w:proofErr w:type="spellEnd"/>
            <w:r>
              <w:rPr>
                <w:bCs/>
                <w:iCs/>
                <w:color w:val="auto"/>
                <w:sz w:val="18"/>
                <w:szCs w:val="18"/>
                <w:lang w:val="en-US"/>
              </w:rPr>
              <w:t xml:space="preserve"> on an analysis performed by external financial consultants Oslo Economics. </w:t>
            </w:r>
            <w:r w:rsidR="004E1DC6">
              <w:rPr>
                <w:bCs/>
                <w:color w:val="auto"/>
                <w:sz w:val="18"/>
                <w:szCs w:val="18"/>
              </w:rPr>
              <w:t>Please see table below</w:t>
            </w:r>
          </w:p>
        </w:tc>
      </w:tr>
      <w:tr w:rsidR="007D4278" w:rsidRPr="00470900" w14:paraId="020170CF" w14:textId="77777777" w:rsidTr="002C4F49">
        <w:tc>
          <w:tcPr>
            <w:tcW w:w="2376" w:type="dxa"/>
            <w:shd w:val="clear" w:color="auto" w:fill="auto"/>
            <w:vAlign w:val="center"/>
          </w:tcPr>
          <w:p w14:paraId="5BACE334" w14:textId="77777777" w:rsidR="007D4278" w:rsidRPr="00470900" w:rsidRDefault="007D4278" w:rsidP="007D4278">
            <w:pPr>
              <w:pStyle w:val="Default"/>
              <w:rPr>
                <w:bCs/>
                <w:color w:val="auto"/>
                <w:sz w:val="18"/>
                <w:szCs w:val="18"/>
              </w:rPr>
            </w:pPr>
            <w:r w:rsidRPr="00470900">
              <w:rPr>
                <w:bCs/>
                <w:color w:val="auto"/>
                <w:sz w:val="18"/>
                <w:szCs w:val="18"/>
              </w:rPr>
              <w:t>3.7 Average interest on debts</w:t>
            </w:r>
          </w:p>
        </w:tc>
        <w:tc>
          <w:tcPr>
            <w:tcW w:w="6691" w:type="dxa"/>
            <w:gridSpan w:val="6"/>
            <w:shd w:val="clear" w:color="auto" w:fill="auto"/>
          </w:tcPr>
          <w:p w14:paraId="12953AE7" w14:textId="497995DA" w:rsidR="007D4278" w:rsidRPr="007D4278" w:rsidRDefault="007861E1" w:rsidP="007D4278">
            <w:pPr>
              <w:pStyle w:val="Default"/>
              <w:rPr>
                <w:bCs/>
                <w:color w:val="FF0000"/>
                <w:sz w:val="18"/>
                <w:szCs w:val="18"/>
              </w:rPr>
            </w:pPr>
            <w:r w:rsidRPr="00470900">
              <w:rPr>
                <w:bCs/>
                <w:color w:val="auto"/>
                <w:sz w:val="18"/>
                <w:szCs w:val="18"/>
              </w:rPr>
              <w:t>Average interest on debts</w:t>
            </w:r>
            <w:r>
              <w:rPr>
                <w:bCs/>
                <w:color w:val="auto"/>
                <w:sz w:val="18"/>
                <w:szCs w:val="18"/>
              </w:rPr>
              <w:t xml:space="preserve"> before tax is set to 2,9</w:t>
            </w:r>
            <w:r w:rsidR="0006125E">
              <w:rPr>
                <w:bCs/>
                <w:color w:val="auto"/>
                <w:sz w:val="18"/>
                <w:szCs w:val="18"/>
              </w:rPr>
              <w:t>5</w:t>
            </w:r>
            <w:r>
              <w:rPr>
                <w:bCs/>
                <w:color w:val="auto"/>
                <w:sz w:val="18"/>
                <w:szCs w:val="18"/>
              </w:rPr>
              <w:t>% b</w:t>
            </w:r>
            <w:proofErr w:type="spellStart"/>
            <w:r>
              <w:rPr>
                <w:bCs/>
                <w:iCs/>
                <w:color w:val="auto"/>
                <w:sz w:val="18"/>
                <w:szCs w:val="18"/>
                <w:lang w:val="en-US"/>
              </w:rPr>
              <w:t>ased</w:t>
            </w:r>
            <w:proofErr w:type="spellEnd"/>
            <w:r>
              <w:rPr>
                <w:bCs/>
                <w:iCs/>
                <w:color w:val="auto"/>
                <w:sz w:val="18"/>
                <w:szCs w:val="18"/>
                <w:lang w:val="en-US"/>
              </w:rPr>
              <w:t xml:space="preserve"> on an analysis performed by Oslo Economics. </w:t>
            </w:r>
            <w:r w:rsidR="004E1DC6">
              <w:rPr>
                <w:bCs/>
                <w:color w:val="auto"/>
                <w:sz w:val="18"/>
                <w:szCs w:val="18"/>
              </w:rPr>
              <w:t>Please see table below</w:t>
            </w:r>
          </w:p>
        </w:tc>
      </w:tr>
      <w:tr w:rsidR="007D4278" w:rsidRPr="00470900" w14:paraId="6C763FDC" w14:textId="77777777" w:rsidTr="002C4F49">
        <w:trPr>
          <w:trHeight w:val="184"/>
        </w:trPr>
        <w:tc>
          <w:tcPr>
            <w:tcW w:w="2376" w:type="dxa"/>
            <w:shd w:val="clear" w:color="auto" w:fill="auto"/>
            <w:vAlign w:val="center"/>
          </w:tcPr>
          <w:p w14:paraId="0C517438" w14:textId="77777777" w:rsidR="007D4278" w:rsidRPr="00470900" w:rsidRDefault="007D4278" w:rsidP="007D4278">
            <w:pPr>
              <w:pStyle w:val="Default"/>
              <w:rPr>
                <w:bCs/>
                <w:color w:val="auto"/>
                <w:sz w:val="18"/>
                <w:szCs w:val="18"/>
              </w:rPr>
            </w:pPr>
            <w:r w:rsidRPr="00470900">
              <w:rPr>
                <w:bCs/>
                <w:color w:val="auto"/>
                <w:sz w:val="18"/>
                <w:szCs w:val="18"/>
              </w:rPr>
              <w:t>3.8 Share of financing through equity</w:t>
            </w:r>
          </w:p>
        </w:tc>
        <w:tc>
          <w:tcPr>
            <w:tcW w:w="6691" w:type="dxa"/>
            <w:gridSpan w:val="6"/>
            <w:shd w:val="clear" w:color="auto" w:fill="auto"/>
          </w:tcPr>
          <w:p w14:paraId="2BE4329B" w14:textId="0197881A" w:rsidR="007D4278" w:rsidRPr="007D4278" w:rsidRDefault="007861E1" w:rsidP="007D4278">
            <w:pPr>
              <w:pStyle w:val="Default"/>
              <w:rPr>
                <w:bCs/>
                <w:color w:val="FF0000"/>
                <w:sz w:val="18"/>
                <w:szCs w:val="18"/>
              </w:rPr>
            </w:pPr>
            <w:r w:rsidRPr="00470900">
              <w:rPr>
                <w:bCs/>
                <w:color w:val="auto"/>
                <w:sz w:val="18"/>
                <w:szCs w:val="18"/>
              </w:rPr>
              <w:t>Share of financing through equity</w:t>
            </w:r>
            <w:r>
              <w:rPr>
                <w:bCs/>
                <w:color w:val="auto"/>
                <w:sz w:val="18"/>
                <w:szCs w:val="18"/>
              </w:rPr>
              <w:t xml:space="preserve"> is set to 40% in the</w:t>
            </w:r>
            <w:r>
              <w:rPr>
                <w:bCs/>
                <w:iCs/>
                <w:color w:val="auto"/>
                <w:sz w:val="18"/>
                <w:szCs w:val="18"/>
                <w:lang w:val="en-US"/>
              </w:rPr>
              <w:t xml:space="preserve"> analysis performed by Oslo Economics</w:t>
            </w:r>
            <w:r w:rsidR="00272E86">
              <w:rPr>
                <w:bCs/>
                <w:iCs/>
                <w:color w:val="auto"/>
                <w:sz w:val="18"/>
                <w:szCs w:val="18"/>
                <w:lang w:val="en-US"/>
              </w:rPr>
              <w:t xml:space="preserve">, </w:t>
            </w:r>
            <w:r w:rsidR="00272E86" w:rsidRPr="00272E86">
              <w:rPr>
                <w:bCs/>
                <w:iCs/>
                <w:color w:val="auto"/>
                <w:sz w:val="18"/>
                <w:szCs w:val="18"/>
                <w:lang w:val="en-US"/>
              </w:rPr>
              <w:t xml:space="preserve">which is </w:t>
            </w:r>
            <w:r w:rsidR="00272E86">
              <w:rPr>
                <w:bCs/>
                <w:iCs/>
                <w:color w:val="auto"/>
                <w:sz w:val="18"/>
                <w:szCs w:val="18"/>
                <w:lang w:val="en-US"/>
              </w:rPr>
              <w:t>i</w:t>
            </w:r>
            <w:r w:rsidR="00272E86" w:rsidRPr="00272E86">
              <w:rPr>
                <w:bCs/>
                <w:iCs/>
                <w:color w:val="auto"/>
                <w:sz w:val="18"/>
                <w:szCs w:val="18"/>
                <w:lang w:val="en-US"/>
              </w:rPr>
              <w:t xml:space="preserve">n </w:t>
            </w:r>
            <w:r w:rsidR="00272E86">
              <w:rPr>
                <w:bCs/>
                <w:iCs/>
                <w:color w:val="auto"/>
                <w:sz w:val="18"/>
                <w:szCs w:val="18"/>
                <w:lang w:val="en-US"/>
              </w:rPr>
              <w:t>accordance</w:t>
            </w:r>
            <w:r w:rsidR="00272E86" w:rsidRPr="00272E86">
              <w:rPr>
                <w:bCs/>
                <w:iCs/>
                <w:color w:val="auto"/>
                <w:sz w:val="18"/>
                <w:szCs w:val="18"/>
                <w:lang w:val="en-US"/>
              </w:rPr>
              <w:t xml:space="preserve"> to the articles of association for </w:t>
            </w:r>
            <w:proofErr w:type="spellStart"/>
            <w:r w:rsidR="00272E86" w:rsidRPr="00272E86">
              <w:rPr>
                <w:bCs/>
                <w:iCs/>
                <w:color w:val="auto"/>
                <w:sz w:val="18"/>
                <w:szCs w:val="18"/>
                <w:lang w:val="en-US"/>
              </w:rPr>
              <w:t>Avinor</w:t>
            </w:r>
            <w:proofErr w:type="spellEnd"/>
            <w:r w:rsidR="00272E86" w:rsidRPr="00272E86">
              <w:rPr>
                <w:bCs/>
                <w:iCs/>
                <w:color w:val="auto"/>
                <w:sz w:val="18"/>
                <w:szCs w:val="18"/>
                <w:lang w:val="en-US"/>
              </w:rPr>
              <w:t xml:space="preserve"> AS issued by the Ministry of Transport,</w:t>
            </w:r>
            <w:r w:rsidR="00AD63E7">
              <w:rPr>
                <w:bCs/>
                <w:iCs/>
                <w:color w:val="auto"/>
                <w:sz w:val="18"/>
                <w:szCs w:val="18"/>
                <w:lang w:val="en-US"/>
              </w:rPr>
              <w:t xml:space="preserve"> stating that</w:t>
            </w:r>
            <w:r w:rsidR="00272E86" w:rsidRPr="00272E86">
              <w:rPr>
                <w:bCs/>
                <w:iCs/>
                <w:color w:val="auto"/>
                <w:sz w:val="18"/>
                <w:szCs w:val="18"/>
                <w:lang w:val="en-US"/>
              </w:rPr>
              <w:t xml:space="preserve"> </w:t>
            </w:r>
            <w:r w:rsidR="00272E86">
              <w:rPr>
                <w:bCs/>
                <w:iCs/>
                <w:color w:val="auto"/>
                <w:sz w:val="18"/>
                <w:szCs w:val="18"/>
                <w:lang w:val="en-US"/>
              </w:rPr>
              <w:t xml:space="preserve">that </w:t>
            </w:r>
            <w:r w:rsidR="00272E86" w:rsidRPr="00272E86">
              <w:rPr>
                <w:bCs/>
                <w:iCs/>
                <w:color w:val="auto"/>
                <w:sz w:val="18"/>
                <w:szCs w:val="18"/>
                <w:lang w:val="en-US"/>
              </w:rPr>
              <w:t xml:space="preserve">the group's equity may not be less than 40% of the group's interest-bearing long-term loans and equity at any given time. </w:t>
            </w:r>
            <w:r w:rsidR="004E1DC6">
              <w:rPr>
                <w:bCs/>
                <w:color w:val="auto"/>
                <w:sz w:val="18"/>
                <w:szCs w:val="18"/>
              </w:rPr>
              <w:t>Please see table below</w:t>
            </w:r>
          </w:p>
        </w:tc>
      </w:tr>
      <w:tr w:rsidR="00367786" w14:paraId="445F3A24" w14:textId="77777777" w:rsidTr="002C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4"/>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917E5D" w14:textId="77777777" w:rsidR="004E1DC6" w:rsidRDefault="004E1DC6" w:rsidP="00A67C31">
            <w:pPr>
              <w:ind w:left="-253" w:firstLine="253"/>
              <w:rPr>
                <w:rFonts w:ascii="Calibri" w:hAnsi="Calibri" w:cs="Arial"/>
                <w:b/>
                <w:bCs/>
                <w:sz w:val="22"/>
                <w:szCs w:val="22"/>
                <w:lang w:eastAsia="en-GB"/>
              </w:rPr>
            </w:pPr>
            <w:bookmarkStart w:id="1" w:name="_Hlk83496049"/>
            <w:bookmarkEnd w:id="0"/>
            <w:r>
              <w:rPr>
                <w:rFonts w:ascii="Calibri" w:hAnsi="Calibri" w:cs="Arial"/>
                <w:b/>
                <w:bCs/>
                <w:sz w:val="20"/>
                <w:szCs w:val="22"/>
                <w:lang w:eastAsia="en-GB"/>
              </w:rPr>
              <w:t>ANSP/Entity:</w:t>
            </w:r>
            <w:r>
              <w:rPr>
                <w:rFonts w:ascii="Calibri" w:hAnsi="Calibri" w:cs="Arial"/>
                <w:b/>
                <w:bCs/>
                <w:color w:val="0066CC"/>
                <w:sz w:val="20"/>
                <w:szCs w:val="22"/>
                <w:lang w:eastAsia="en-GB"/>
              </w:rPr>
              <w:t xml:space="preserve"> </w:t>
            </w:r>
            <w:proofErr w:type="spellStart"/>
            <w:r>
              <w:rPr>
                <w:rFonts w:ascii="Calibri" w:hAnsi="Calibri" w:cs="Arial"/>
                <w:b/>
                <w:bCs/>
                <w:color w:val="0066CC"/>
                <w:sz w:val="20"/>
                <w:szCs w:val="22"/>
                <w:lang w:eastAsia="en-GB"/>
              </w:rPr>
              <w:t>Avinor</w:t>
            </w:r>
            <w:proofErr w:type="spellEnd"/>
            <w:r>
              <w:rPr>
                <w:rFonts w:ascii="Calibri" w:hAnsi="Calibri" w:cs="Arial"/>
                <w:b/>
                <w:bCs/>
                <w:color w:val="0066CC"/>
                <w:sz w:val="20"/>
                <w:szCs w:val="22"/>
                <w:lang w:eastAsia="en-GB"/>
              </w:rPr>
              <w:t xml:space="preserve"> ANS</w:t>
            </w:r>
          </w:p>
        </w:tc>
        <w:tc>
          <w:tcPr>
            <w:tcW w:w="5047" w:type="dxa"/>
            <w:gridSpan w:val="5"/>
            <w:tcBorders>
              <w:top w:val="single" w:sz="4" w:space="0" w:color="auto"/>
              <w:left w:val="nil"/>
              <w:bottom w:val="single" w:sz="4" w:space="0" w:color="auto"/>
              <w:right w:val="single" w:sz="4" w:space="0" w:color="auto"/>
            </w:tcBorders>
            <w:shd w:val="clear" w:color="auto" w:fill="FFFFFF"/>
            <w:vAlign w:val="center"/>
            <w:hideMark/>
          </w:tcPr>
          <w:p w14:paraId="40A99252" w14:textId="1483481E" w:rsidR="004E1DC6" w:rsidRDefault="004E1DC6">
            <w:pPr>
              <w:rPr>
                <w:rFonts w:ascii="Calibri" w:hAnsi="Calibri" w:cs="Arial"/>
                <w:b/>
                <w:bCs/>
                <w:sz w:val="22"/>
                <w:szCs w:val="22"/>
                <w:lang w:eastAsia="en-GB"/>
              </w:rPr>
            </w:pPr>
            <w:r>
              <w:rPr>
                <w:rFonts w:ascii="Calibri" w:hAnsi="Calibri" w:cs="Arial"/>
                <w:b/>
                <w:bCs/>
                <w:sz w:val="20"/>
                <w:szCs w:val="22"/>
                <w:lang w:eastAsia="en-GB"/>
              </w:rPr>
              <w:t>RP3</w:t>
            </w:r>
          </w:p>
        </w:tc>
      </w:tr>
      <w:tr w:rsidR="00367786" w14:paraId="658D68C5" w14:textId="77777777" w:rsidTr="002C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7"/>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465591" w14:textId="77777777" w:rsidR="004E1DC6" w:rsidRDefault="004E1DC6" w:rsidP="00042833">
            <w:pPr>
              <w:jc w:val="left"/>
              <w:rPr>
                <w:rFonts w:ascii="Calibri" w:hAnsi="Calibri" w:cs="Arial"/>
                <w:b/>
                <w:bCs/>
                <w:sz w:val="22"/>
                <w:szCs w:val="22"/>
                <w:lang w:eastAsia="en-GB"/>
              </w:rPr>
            </w:pPr>
            <w:r w:rsidRPr="00042833">
              <w:rPr>
                <w:rFonts w:ascii="Calibri" w:hAnsi="Calibri" w:cs="Arial"/>
                <w:b/>
                <w:bCs/>
                <w:sz w:val="20"/>
                <w:szCs w:val="22"/>
                <w:lang w:eastAsia="en-GB"/>
              </w:rPr>
              <w:t xml:space="preserve">Cost of Capital (WACC)  </w:t>
            </w:r>
            <w:r w:rsidRPr="00042833">
              <w:rPr>
                <w:rFonts w:ascii="Calibri" w:hAnsi="Calibri" w:cs="Arial"/>
                <w:b/>
                <w:bCs/>
                <w:sz w:val="20"/>
                <w:szCs w:val="22"/>
                <w:lang w:eastAsia="en-GB"/>
              </w:rPr>
              <w:br/>
              <w:t>in nominal terms</w:t>
            </w:r>
          </w:p>
        </w:tc>
        <w:tc>
          <w:tcPr>
            <w:tcW w:w="996" w:type="dxa"/>
            <w:tcBorders>
              <w:top w:val="single" w:sz="4" w:space="0" w:color="auto"/>
              <w:left w:val="nil"/>
              <w:bottom w:val="single" w:sz="4" w:space="0" w:color="auto"/>
              <w:right w:val="single" w:sz="4" w:space="0" w:color="auto"/>
            </w:tcBorders>
            <w:shd w:val="clear" w:color="auto" w:fill="FFFFFF"/>
            <w:noWrap/>
            <w:vAlign w:val="center"/>
            <w:hideMark/>
          </w:tcPr>
          <w:p w14:paraId="694D5106" w14:textId="38D23F97" w:rsidR="004E1DC6" w:rsidRDefault="004E1DC6">
            <w:pPr>
              <w:rPr>
                <w:rFonts w:ascii="Calibri" w:hAnsi="Calibri" w:cs="Arial"/>
                <w:b/>
                <w:bCs/>
                <w:sz w:val="22"/>
                <w:szCs w:val="22"/>
                <w:lang w:eastAsia="en-GB"/>
              </w:rPr>
            </w:pPr>
            <w:r>
              <w:rPr>
                <w:rFonts w:ascii="Calibri" w:hAnsi="Calibri" w:cs="Arial"/>
                <w:b/>
                <w:bCs/>
                <w:sz w:val="20"/>
                <w:szCs w:val="22"/>
                <w:lang w:eastAsia="en-GB"/>
              </w:rPr>
              <w:t>2020</w:t>
            </w:r>
          </w:p>
        </w:tc>
        <w:tc>
          <w:tcPr>
            <w:tcW w:w="997" w:type="dxa"/>
            <w:tcBorders>
              <w:top w:val="single" w:sz="4" w:space="0" w:color="auto"/>
              <w:left w:val="nil"/>
              <w:bottom w:val="single" w:sz="4" w:space="0" w:color="auto"/>
              <w:right w:val="single" w:sz="4" w:space="0" w:color="auto"/>
            </w:tcBorders>
            <w:shd w:val="clear" w:color="auto" w:fill="FFFFFF"/>
            <w:noWrap/>
            <w:vAlign w:val="center"/>
            <w:hideMark/>
          </w:tcPr>
          <w:p w14:paraId="562A399B" w14:textId="05B3901D" w:rsidR="004E1DC6" w:rsidRDefault="004E1DC6">
            <w:pPr>
              <w:rPr>
                <w:rFonts w:ascii="Calibri" w:hAnsi="Calibri" w:cs="Arial"/>
                <w:b/>
                <w:bCs/>
                <w:sz w:val="22"/>
                <w:szCs w:val="22"/>
                <w:lang w:eastAsia="en-GB"/>
              </w:rPr>
            </w:pPr>
            <w:r>
              <w:rPr>
                <w:rFonts w:ascii="Calibri" w:hAnsi="Calibri" w:cs="Arial"/>
                <w:b/>
                <w:bCs/>
                <w:sz w:val="20"/>
                <w:szCs w:val="22"/>
                <w:lang w:eastAsia="en-GB"/>
              </w:rPr>
              <w:t>2021</w:t>
            </w:r>
          </w:p>
        </w:tc>
        <w:tc>
          <w:tcPr>
            <w:tcW w:w="997" w:type="dxa"/>
            <w:tcBorders>
              <w:top w:val="single" w:sz="4" w:space="0" w:color="auto"/>
              <w:left w:val="nil"/>
              <w:bottom w:val="single" w:sz="4" w:space="0" w:color="auto"/>
              <w:right w:val="single" w:sz="4" w:space="0" w:color="auto"/>
            </w:tcBorders>
            <w:shd w:val="clear" w:color="auto" w:fill="FFFFFF"/>
            <w:noWrap/>
            <w:vAlign w:val="center"/>
            <w:hideMark/>
          </w:tcPr>
          <w:p w14:paraId="2CF0D4C3" w14:textId="717F2744" w:rsidR="004E1DC6" w:rsidRDefault="004E1DC6">
            <w:pPr>
              <w:rPr>
                <w:rFonts w:ascii="Calibri" w:hAnsi="Calibri" w:cs="Arial"/>
                <w:b/>
                <w:bCs/>
                <w:sz w:val="22"/>
                <w:szCs w:val="22"/>
                <w:lang w:eastAsia="en-GB"/>
              </w:rPr>
            </w:pPr>
            <w:r>
              <w:rPr>
                <w:rFonts w:ascii="Calibri" w:hAnsi="Calibri" w:cs="Arial"/>
                <w:b/>
                <w:bCs/>
                <w:sz w:val="20"/>
                <w:szCs w:val="22"/>
                <w:lang w:eastAsia="en-GB"/>
              </w:rPr>
              <w:t>2022</w:t>
            </w:r>
          </w:p>
        </w:tc>
        <w:tc>
          <w:tcPr>
            <w:tcW w:w="997" w:type="dxa"/>
            <w:tcBorders>
              <w:top w:val="single" w:sz="4" w:space="0" w:color="auto"/>
              <w:left w:val="nil"/>
              <w:bottom w:val="single" w:sz="4" w:space="0" w:color="auto"/>
              <w:right w:val="single" w:sz="4" w:space="0" w:color="auto"/>
            </w:tcBorders>
            <w:shd w:val="clear" w:color="auto" w:fill="FFFFFF"/>
            <w:noWrap/>
            <w:vAlign w:val="center"/>
            <w:hideMark/>
          </w:tcPr>
          <w:p w14:paraId="2E1F146F" w14:textId="20CC780B" w:rsidR="004E1DC6" w:rsidRDefault="004E1DC6">
            <w:pPr>
              <w:rPr>
                <w:rFonts w:ascii="Calibri" w:hAnsi="Calibri" w:cs="Arial"/>
                <w:b/>
                <w:bCs/>
                <w:sz w:val="22"/>
                <w:szCs w:val="22"/>
                <w:lang w:eastAsia="en-GB"/>
              </w:rPr>
            </w:pPr>
            <w:r>
              <w:rPr>
                <w:rFonts w:ascii="Calibri" w:hAnsi="Calibri" w:cs="Arial"/>
                <w:b/>
                <w:bCs/>
                <w:sz w:val="20"/>
                <w:szCs w:val="22"/>
                <w:lang w:eastAsia="en-GB"/>
              </w:rPr>
              <w:t>2023</w:t>
            </w:r>
          </w:p>
        </w:tc>
        <w:tc>
          <w:tcPr>
            <w:tcW w:w="1060" w:type="dxa"/>
            <w:tcBorders>
              <w:top w:val="single" w:sz="4" w:space="0" w:color="auto"/>
              <w:left w:val="nil"/>
              <w:bottom w:val="single" w:sz="4" w:space="0" w:color="auto"/>
              <w:right w:val="single" w:sz="4" w:space="0" w:color="auto"/>
            </w:tcBorders>
            <w:shd w:val="clear" w:color="auto" w:fill="FFFFFF"/>
            <w:noWrap/>
            <w:vAlign w:val="center"/>
            <w:hideMark/>
          </w:tcPr>
          <w:p w14:paraId="795FA6C2" w14:textId="5A5A1E7B" w:rsidR="004E1DC6" w:rsidRDefault="004E1DC6">
            <w:pPr>
              <w:rPr>
                <w:rFonts w:ascii="Calibri" w:hAnsi="Calibri" w:cs="Arial"/>
                <w:b/>
                <w:bCs/>
                <w:sz w:val="20"/>
                <w:szCs w:val="22"/>
                <w:lang w:eastAsia="en-GB"/>
              </w:rPr>
            </w:pPr>
            <w:r>
              <w:rPr>
                <w:rFonts w:ascii="Calibri" w:hAnsi="Calibri" w:cs="Arial"/>
                <w:b/>
                <w:bCs/>
                <w:sz w:val="20"/>
                <w:szCs w:val="22"/>
                <w:lang w:eastAsia="en-GB"/>
              </w:rPr>
              <w:t>2024</w:t>
            </w:r>
          </w:p>
        </w:tc>
      </w:tr>
      <w:tr w:rsidR="00367786" w14:paraId="28E7CA3C" w14:textId="77777777" w:rsidTr="002C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F936FD" w14:textId="77777777" w:rsidR="004E1DC6" w:rsidRDefault="004E1DC6" w:rsidP="00042833">
            <w:pPr>
              <w:jc w:val="left"/>
              <w:rPr>
                <w:rFonts w:ascii="Calibri" w:hAnsi="Calibri" w:cs="Arial"/>
                <w:b/>
                <w:sz w:val="22"/>
                <w:szCs w:val="22"/>
                <w:lang w:eastAsia="en-GB"/>
              </w:rPr>
            </w:pPr>
            <w:r>
              <w:rPr>
                <w:rFonts w:ascii="Calibri" w:hAnsi="Calibri" w:cs="Arial"/>
                <w:b/>
                <w:sz w:val="20"/>
                <w:szCs w:val="22"/>
                <w:lang w:eastAsia="en-GB"/>
              </w:rPr>
              <w:t>Capital structure (% debt)</w:t>
            </w:r>
          </w:p>
        </w:tc>
        <w:tc>
          <w:tcPr>
            <w:tcW w:w="99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BF778D" w14:textId="77777777" w:rsidR="004E1DC6" w:rsidRDefault="004E1DC6">
            <w:pPr>
              <w:rPr>
                <w:rFonts w:ascii="Calibri" w:hAnsi="Calibri" w:cs="Arial"/>
                <w:sz w:val="20"/>
                <w:szCs w:val="22"/>
                <w:lang w:eastAsia="en-GB"/>
              </w:rPr>
            </w:pPr>
            <w:r>
              <w:rPr>
                <w:sz w:val="20"/>
                <w:szCs w:val="20"/>
                <w:lang w:eastAsia="en-GB"/>
              </w:rPr>
              <w:t>60%</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5A4EEF" w14:textId="77777777" w:rsidR="004E1DC6" w:rsidRDefault="004E1DC6">
            <w:pPr>
              <w:rPr>
                <w:rFonts w:ascii="Calibri" w:hAnsi="Calibri" w:cs="Arial"/>
                <w:sz w:val="20"/>
                <w:szCs w:val="22"/>
                <w:lang w:eastAsia="en-GB"/>
              </w:rPr>
            </w:pPr>
            <w:r>
              <w:rPr>
                <w:sz w:val="20"/>
                <w:szCs w:val="20"/>
                <w:lang w:eastAsia="en-GB"/>
              </w:rPr>
              <w:t>60%</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932A9F" w14:textId="77777777" w:rsidR="004E1DC6" w:rsidRDefault="004E1DC6">
            <w:pPr>
              <w:rPr>
                <w:rFonts w:ascii="Calibri" w:hAnsi="Calibri" w:cs="Arial"/>
                <w:sz w:val="20"/>
                <w:szCs w:val="22"/>
                <w:lang w:eastAsia="en-GB"/>
              </w:rPr>
            </w:pPr>
            <w:r>
              <w:rPr>
                <w:rFonts w:ascii="Calibri" w:hAnsi="Calibri" w:cs="Arial"/>
                <w:sz w:val="20"/>
                <w:szCs w:val="22"/>
                <w:lang w:eastAsia="en-GB"/>
              </w:rPr>
              <w:t>60%</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D70316" w14:textId="77777777" w:rsidR="004E1DC6" w:rsidRDefault="004E1DC6">
            <w:pPr>
              <w:rPr>
                <w:rFonts w:ascii="Calibri" w:hAnsi="Calibri" w:cs="Arial"/>
                <w:sz w:val="20"/>
                <w:szCs w:val="22"/>
                <w:lang w:eastAsia="en-GB"/>
              </w:rPr>
            </w:pPr>
            <w:r>
              <w:rPr>
                <w:rFonts w:ascii="Calibri" w:hAnsi="Calibri" w:cs="Arial"/>
                <w:sz w:val="20"/>
                <w:szCs w:val="22"/>
                <w:lang w:eastAsia="en-GB"/>
              </w:rPr>
              <w:t>60%</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9E1712" w14:textId="77777777" w:rsidR="004E1DC6" w:rsidRDefault="004E1DC6">
            <w:pPr>
              <w:rPr>
                <w:rFonts w:ascii="Calibri" w:hAnsi="Calibri" w:cs="Arial"/>
                <w:sz w:val="20"/>
                <w:szCs w:val="22"/>
                <w:lang w:eastAsia="en-GB"/>
              </w:rPr>
            </w:pPr>
            <w:r>
              <w:rPr>
                <w:rFonts w:ascii="Calibri" w:hAnsi="Calibri" w:cs="Arial"/>
                <w:sz w:val="20"/>
                <w:szCs w:val="22"/>
                <w:lang w:eastAsia="en-GB"/>
              </w:rPr>
              <w:t>60%</w:t>
            </w:r>
          </w:p>
        </w:tc>
      </w:tr>
      <w:tr w:rsidR="00367786" w14:paraId="560C06CE" w14:textId="77777777" w:rsidTr="002C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461838" w14:textId="77777777" w:rsidR="004E1DC6" w:rsidRDefault="004E1DC6" w:rsidP="00042833">
            <w:pPr>
              <w:jc w:val="left"/>
              <w:rPr>
                <w:rFonts w:ascii="Calibri" w:hAnsi="Calibri" w:cs="Arial"/>
                <w:b/>
                <w:bCs/>
                <w:sz w:val="22"/>
                <w:szCs w:val="22"/>
                <w:lang w:eastAsia="en-GB"/>
              </w:rPr>
            </w:pPr>
            <w:r>
              <w:rPr>
                <w:rFonts w:ascii="Calibri" w:hAnsi="Calibri" w:cs="Arial"/>
                <w:b/>
                <w:bCs/>
                <w:sz w:val="20"/>
                <w:szCs w:val="22"/>
                <w:lang w:eastAsia="en-GB"/>
              </w:rPr>
              <w:t>Return on Equity % (</w:t>
            </w:r>
            <w:proofErr w:type="spellStart"/>
            <w:r>
              <w:rPr>
                <w:rFonts w:ascii="Calibri" w:hAnsi="Calibri" w:cs="Arial"/>
                <w:b/>
                <w:bCs/>
                <w:sz w:val="20"/>
                <w:szCs w:val="22"/>
                <w:lang w:eastAsia="en-GB"/>
              </w:rPr>
              <w:t>pre tax</w:t>
            </w:r>
            <w:proofErr w:type="spellEnd"/>
            <w:r>
              <w:rPr>
                <w:rFonts w:ascii="Calibri" w:hAnsi="Calibri" w:cs="Arial"/>
                <w:b/>
                <w:bCs/>
                <w:sz w:val="20"/>
                <w:szCs w:val="22"/>
                <w:lang w:eastAsia="en-GB"/>
              </w:rPr>
              <w:t>) - T1 3.</w:t>
            </w:r>
            <w:r>
              <w:rPr>
                <w:rFonts w:ascii="Calibri" w:hAnsi="Calibri" w:cs="Arial"/>
                <w:b/>
                <w:bCs/>
                <w:sz w:val="22"/>
                <w:szCs w:val="22"/>
                <w:lang w:eastAsia="en-GB"/>
              </w:rPr>
              <w:t>6</w:t>
            </w:r>
          </w:p>
        </w:tc>
        <w:tc>
          <w:tcPr>
            <w:tcW w:w="99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1BF912" w14:textId="68043932" w:rsidR="004E1DC6" w:rsidRDefault="0006125E" w:rsidP="004E1DC6">
            <w:pPr>
              <w:rPr>
                <w:rFonts w:ascii="Calibri" w:hAnsi="Calibri" w:cs="Arial"/>
                <w:b/>
                <w:bCs/>
                <w:sz w:val="20"/>
                <w:szCs w:val="22"/>
                <w:lang w:eastAsia="en-GB"/>
              </w:rPr>
            </w:pPr>
            <w:r>
              <w:rPr>
                <w:sz w:val="20"/>
                <w:szCs w:val="20"/>
                <w:lang w:eastAsia="en-GB"/>
              </w:rPr>
              <w:t>10,20</w:t>
            </w:r>
            <w:r w:rsidR="004E1DC6">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0F2EE5BC" w14:textId="36F17437" w:rsidR="004E1DC6" w:rsidRDefault="0006125E" w:rsidP="004E1DC6">
            <w:pPr>
              <w:rPr>
                <w:rFonts w:ascii="Calibri" w:hAnsi="Calibri" w:cs="Arial"/>
                <w:b/>
                <w:bCs/>
                <w:sz w:val="20"/>
                <w:szCs w:val="22"/>
                <w:lang w:eastAsia="en-GB"/>
              </w:rPr>
            </w:pPr>
            <w:r>
              <w:rPr>
                <w:sz w:val="20"/>
                <w:szCs w:val="20"/>
                <w:lang w:eastAsia="en-GB"/>
              </w:rPr>
              <w:t>10,20</w:t>
            </w:r>
            <w:r w:rsidR="00B13F82">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153007A2" w14:textId="038C42F5" w:rsidR="004E1DC6" w:rsidRDefault="0006125E" w:rsidP="004E1DC6">
            <w:pPr>
              <w:rPr>
                <w:rFonts w:ascii="Calibri" w:hAnsi="Calibri" w:cs="Arial"/>
                <w:b/>
                <w:bCs/>
                <w:sz w:val="20"/>
                <w:szCs w:val="22"/>
                <w:lang w:eastAsia="en-GB"/>
              </w:rPr>
            </w:pPr>
            <w:r>
              <w:rPr>
                <w:sz w:val="20"/>
                <w:szCs w:val="20"/>
                <w:lang w:eastAsia="en-GB"/>
              </w:rPr>
              <w:t>10,20</w:t>
            </w:r>
            <w:r w:rsidR="00B13F82">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6EA19D60" w14:textId="7743EA9B" w:rsidR="004E1DC6" w:rsidRDefault="0006125E" w:rsidP="004E1DC6">
            <w:pPr>
              <w:rPr>
                <w:rFonts w:ascii="Calibri" w:hAnsi="Calibri" w:cs="Arial"/>
                <w:b/>
                <w:bCs/>
                <w:sz w:val="20"/>
                <w:szCs w:val="22"/>
                <w:lang w:eastAsia="en-GB"/>
              </w:rPr>
            </w:pPr>
            <w:r>
              <w:rPr>
                <w:sz w:val="20"/>
                <w:szCs w:val="20"/>
                <w:lang w:eastAsia="en-GB"/>
              </w:rPr>
              <w:t>10,20</w:t>
            </w:r>
            <w:r w:rsidR="00B13F82">
              <w:rPr>
                <w:sz w:val="20"/>
                <w:szCs w:val="20"/>
                <w:lang w:eastAsia="en-GB"/>
              </w:rPr>
              <w:t>%</w:t>
            </w:r>
          </w:p>
        </w:tc>
        <w:tc>
          <w:tcPr>
            <w:tcW w:w="1060" w:type="dxa"/>
            <w:tcBorders>
              <w:top w:val="single" w:sz="4" w:space="0" w:color="auto"/>
              <w:left w:val="single" w:sz="4" w:space="0" w:color="auto"/>
              <w:bottom w:val="single" w:sz="4" w:space="0" w:color="auto"/>
              <w:right w:val="single" w:sz="4" w:space="0" w:color="auto"/>
            </w:tcBorders>
            <w:shd w:val="clear" w:color="auto" w:fill="FFFFFF"/>
            <w:noWrap/>
            <w:hideMark/>
          </w:tcPr>
          <w:p w14:paraId="491F6FAC" w14:textId="2F44A392" w:rsidR="004E1DC6" w:rsidRDefault="0006125E" w:rsidP="004E1DC6">
            <w:pPr>
              <w:rPr>
                <w:rFonts w:ascii="Calibri" w:hAnsi="Calibri" w:cs="Arial"/>
                <w:b/>
                <w:bCs/>
                <w:sz w:val="20"/>
                <w:szCs w:val="22"/>
                <w:lang w:eastAsia="en-GB"/>
              </w:rPr>
            </w:pPr>
            <w:r>
              <w:rPr>
                <w:sz w:val="20"/>
                <w:szCs w:val="20"/>
                <w:lang w:eastAsia="en-GB"/>
              </w:rPr>
              <w:t>10,20</w:t>
            </w:r>
            <w:r w:rsidR="00B13F82">
              <w:rPr>
                <w:sz w:val="20"/>
                <w:szCs w:val="20"/>
                <w:lang w:eastAsia="en-GB"/>
              </w:rPr>
              <w:t>%</w:t>
            </w:r>
          </w:p>
        </w:tc>
      </w:tr>
      <w:tr w:rsidR="00367786" w14:paraId="496D6039" w14:textId="77777777" w:rsidTr="002C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6DE734" w14:textId="77777777" w:rsidR="004E1DC6" w:rsidRDefault="004E1DC6" w:rsidP="00042833">
            <w:pPr>
              <w:jc w:val="left"/>
              <w:rPr>
                <w:rFonts w:ascii="Calibri" w:hAnsi="Calibri" w:cs="Arial"/>
                <w:b/>
                <w:bCs/>
                <w:sz w:val="22"/>
                <w:szCs w:val="22"/>
                <w:lang w:eastAsia="en-GB"/>
              </w:rPr>
            </w:pPr>
            <w:r>
              <w:rPr>
                <w:rFonts w:ascii="Calibri" w:hAnsi="Calibri" w:cs="Arial"/>
                <w:b/>
                <w:bCs/>
                <w:sz w:val="20"/>
                <w:szCs w:val="22"/>
                <w:lang w:eastAsia="en-GB"/>
              </w:rPr>
              <w:t>Interest on debt % (</w:t>
            </w:r>
            <w:proofErr w:type="spellStart"/>
            <w:r>
              <w:rPr>
                <w:rFonts w:ascii="Calibri" w:hAnsi="Calibri" w:cs="Arial"/>
                <w:b/>
                <w:bCs/>
                <w:sz w:val="20"/>
                <w:szCs w:val="22"/>
                <w:lang w:eastAsia="en-GB"/>
              </w:rPr>
              <w:t>pre tax</w:t>
            </w:r>
            <w:proofErr w:type="spellEnd"/>
            <w:r>
              <w:rPr>
                <w:rFonts w:ascii="Calibri" w:hAnsi="Calibri" w:cs="Arial"/>
                <w:b/>
                <w:bCs/>
                <w:sz w:val="20"/>
                <w:szCs w:val="22"/>
                <w:lang w:eastAsia="en-GB"/>
              </w:rPr>
              <w:t>) - T1 3.7</w:t>
            </w:r>
          </w:p>
        </w:tc>
        <w:tc>
          <w:tcPr>
            <w:tcW w:w="99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4B6B9D" w14:textId="76F31B9B" w:rsidR="004E1DC6" w:rsidRDefault="004E1DC6" w:rsidP="004E1DC6">
            <w:pPr>
              <w:rPr>
                <w:rFonts w:ascii="Calibri" w:hAnsi="Calibri" w:cs="Arial"/>
                <w:b/>
                <w:bCs/>
                <w:sz w:val="20"/>
                <w:szCs w:val="22"/>
                <w:lang w:eastAsia="en-GB"/>
              </w:rPr>
            </w:pPr>
            <w:r>
              <w:rPr>
                <w:sz w:val="20"/>
                <w:szCs w:val="20"/>
                <w:lang w:eastAsia="en-GB"/>
              </w:rPr>
              <w:t>2,</w:t>
            </w:r>
            <w:r w:rsidR="007861E1">
              <w:rPr>
                <w:sz w:val="20"/>
                <w:szCs w:val="20"/>
                <w:lang w:eastAsia="en-GB"/>
              </w:rPr>
              <w:t>9</w:t>
            </w:r>
            <w:r w:rsidR="0006125E">
              <w:rPr>
                <w:sz w:val="20"/>
                <w:szCs w:val="20"/>
                <w:lang w:eastAsia="en-GB"/>
              </w:rPr>
              <w:t>5</w:t>
            </w:r>
            <w:r>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6C48F1" w14:textId="6776F427" w:rsidR="004E1DC6" w:rsidRDefault="00B13F82" w:rsidP="004E1DC6">
            <w:pPr>
              <w:rPr>
                <w:rFonts w:ascii="Calibri" w:hAnsi="Calibri" w:cs="Arial"/>
                <w:b/>
                <w:bCs/>
                <w:sz w:val="20"/>
                <w:szCs w:val="22"/>
                <w:lang w:eastAsia="en-GB"/>
              </w:rPr>
            </w:pPr>
            <w:r>
              <w:rPr>
                <w:sz w:val="20"/>
                <w:szCs w:val="20"/>
                <w:lang w:eastAsia="en-GB"/>
              </w:rPr>
              <w:t>2,</w:t>
            </w:r>
            <w:r w:rsidR="007861E1">
              <w:rPr>
                <w:sz w:val="20"/>
                <w:szCs w:val="20"/>
                <w:lang w:eastAsia="en-GB"/>
              </w:rPr>
              <w:t>9</w:t>
            </w:r>
            <w:r w:rsidR="0006125E">
              <w:rPr>
                <w:sz w:val="20"/>
                <w:szCs w:val="20"/>
                <w:lang w:eastAsia="en-GB"/>
              </w:rPr>
              <w:t>5</w:t>
            </w:r>
            <w:r>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371666" w14:textId="59817D45" w:rsidR="004E1DC6" w:rsidRDefault="00B13F82" w:rsidP="004E1DC6">
            <w:pPr>
              <w:rPr>
                <w:rFonts w:ascii="Calibri" w:hAnsi="Calibri" w:cs="Arial"/>
                <w:b/>
                <w:bCs/>
                <w:sz w:val="20"/>
                <w:szCs w:val="22"/>
                <w:lang w:eastAsia="en-GB"/>
              </w:rPr>
            </w:pPr>
            <w:r>
              <w:rPr>
                <w:sz w:val="20"/>
                <w:szCs w:val="20"/>
                <w:lang w:eastAsia="en-GB"/>
              </w:rPr>
              <w:t>2,</w:t>
            </w:r>
            <w:r w:rsidR="007861E1">
              <w:rPr>
                <w:sz w:val="20"/>
                <w:szCs w:val="20"/>
                <w:lang w:eastAsia="en-GB"/>
              </w:rPr>
              <w:t>9</w:t>
            </w:r>
            <w:r w:rsidR="0006125E">
              <w:rPr>
                <w:sz w:val="20"/>
                <w:szCs w:val="20"/>
                <w:lang w:eastAsia="en-GB"/>
              </w:rPr>
              <w:t>5</w:t>
            </w:r>
            <w:r>
              <w:rPr>
                <w:sz w:val="20"/>
                <w:szCs w:val="20"/>
                <w:lang w:eastAsia="en-GB"/>
              </w:rPr>
              <w:t>%</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4A632085" w14:textId="57AF98A1" w:rsidR="004E1DC6" w:rsidRDefault="00B13F82" w:rsidP="004E1DC6">
            <w:pPr>
              <w:rPr>
                <w:rFonts w:ascii="Calibri" w:hAnsi="Calibri" w:cs="Arial"/>
                <w:b/>
                <w:bCs/>
                <w:sz w:val="20"/>
                <w:szCs w:val="22"/>
                <w:lang w:eastAsia="en-GB"/>
              </w:rPr>
            </w:pPr>
            <w:r>
              <w:rPr>
                <w:sz w:val="20"/>
                <w:szCs w:val="20"/>
                <w:lang w:eastAsia="en-GB"/>
              </w:rPr>
              <w:t>2,</w:t>
            </w:r>
            <w:r w:rsidR="007861E1">
              <w:rPr>
                <w:sz w:val="20"/>
                <w:szCs w:val="20"/>
                <w:lang w:eastAsia="en-GB"/>
              </w:rPr>
              <w:t>9</w:t>
            </w:r>
            <w:r w:rsidR="0006125E">
              <w:rPr>
                <w:sz w:val="20"/>
                <w:szCs w:val="20"/>
                <w:lang w:eastAsia="en-GB"/>
              </w:rPr>
              <w:t>5</w:t>
            </w:r>
            <w:r>
              <w:rPr>
                <w:sz w:val="20"/>
                <w:szCs w:val="20"/>
                <w:lang w:eastAsia="en-GB"/>
              </w:rPr>
              <w:t>%</w:t>
            </w:r>
          </w:p>
        </w:tc>
        <w:tc>
          <w:tcPr>
            <w:tcW w:w="1060" w:type="dxa"/>
            <w:tcBorders>
              <w:top w:val="single" w:sz="4" w:space="0" w:color="auto"/>
              <w:left w:val="single" w:sz="4" w:space="0" w:color="auto"/>
              <w:bottom w:val="single" w:sz="4" w:space="0" w:color="auto"/>
              <w:right w:val="single" w:sz="4" w:space="0" w:color="auto"/>
            </w:tcBorders>
            <w:shd w:val="clear" w:color="auto" w:fill="FFFFFF"/>
            <w:noWrap/>
            <w:hideMark/>
          </w:tcPr>
          <w:p w14:paraId="57E36382" w14:textId="067F4D28" w:rsidR="004E1DC6" w:rsidRDefault="00B13F82" w:rsidP="004E1DC6">
            <w:pPr>
              <w:rPr>
                <w:rFonts w:ascii="Calibri" w:hAnsi="Calibri" w:cs="Arial"/>
                <w:b/>
                <w:bCs/>
                <w:color w:val="0070C0"/>
                <w:sz w:val="20"/>
                <w:szCs w:val="22"/>
                <w:highlight w:val="yellow"/>
                <w:lang w:eastAsia="en-GB"/>
              </w:rPr>
            </w:pPr>
            <w:r>
              <w:rPr>
                <w:sz w:val="20"/>
                <w:szCs w:val="20"/>
                <w:lang w:eastAsia="en-GB"/>
              </w:rPr>
              <w:t>2,</w:t>
            </w:r>
            <w:r w:rsidR="007861E1">
              <w:rPr>
                <w:sz w:val="20"/>
                <w:szCs w:val="20"/>
                <w:lang w:eastAsia="en-GB"/>
              </w:rPr>
              <w:t>9</w:t>
            </w:r>
            <w:r w:rsidR="0006125E">
              <w:rPr>
                <w:sz w:val="20"/>
                <w:szCs w:val="20"/>
                <w:lang w:eastAsia="en-GB"/>
              </w:rPr>
              <w:t>5</w:t>
            </w:r>
            <w:r>
              <w:rPr>
                <w:sz w:val="20"/>
                <w:szCs w:val="20"/>
                <w:lang w:eastAsia="en-GB"/>
              </w:rPr>
              <w:t>%</w:t>
            </w:r>
          </w:p>
        </w:tc>
      </w:tr>
      <w:tr w:rsidR="00367786" w14:paraId="3B595E1E" w14:textId="77777777" w:rsidTr="002C4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40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113710" w14:textId="77777777" w:rsidR="004E1DC6" w:rsidRDefault="004E1DC6" w:rsidP="00042833">
            <w:pPr>
              <w:jc w:val="left"/>
              <w:rPr>
                <w:rFonts w:ascii="Calibri" w:hAnsi="Calibri" w:cs="Arial"/>
                <w:b/>
                <w:bCs/>
                <w:sz w:val="22"/>
                <w:szCs w:val="22"/>
                <w:lang w:eastAsia="en-GB"/>
              </w:rPr>
            </w:pPr>
            <w:r>
              <w:rPr>
                <w:rFonts w:ascii="Calibri" w:hAnsi="Calibri" w:cs="Arial"/>
                <w:b/>
                <w:bCs/>
                <w:sz w:val="20"/>
                <w:szCs w:val="22"/>
                <w:lang w:eastAsia="en-GB"/>
              </w:rPr>
              <w:t>WACC % (</w:t>
            </w:r>
            <w:proofErr w:type="spellStart"/>
            <w:r>
              <w:rPr>
                <w:rFonts w:ascii="Calibri" w:hAnsi="Calibri" w:cs="Arial"/>
                <w:b/>
                <w:bCs/>
                <w:sz w:val="20"/>
                <w:szCs w:val="22"/>
                <w:lang w:eastAsia="en-GB"/>
              </w:rPr>
              <w:t>pre tax</w:t>
            </w:r>
            <w:proofErr w:type="spellEnd"/>
            <w:r>
              <w:rPr>
                <w:rFonts w:ascii="Calibri" w:hAnsi="Calibri" w:cs="Arial"/>
                <w:b/>
                <w:bCs/>
                <w:sz w:val="20"/>
                <w:szCs w:val="22"/>
                <w:lang w:eastAsia="en-GB"/>
              </w:rPr>
              <w:t>) - T1 3.5</w:t>
            </w:r>
          </w:p>
        </w:tc>
        <w:tc>
          <w:tcPr>
            <w:tcW w:w="99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7A17D0" w14:textId="010E78AA" w:rsidR="004E1DC6" w:rsidRDefault="004E1DC6" w:rsidP="004E1DC6">
            <w:pPr>
              <w:rPr>
                <w:rFonts w:ascii="Calibri" w:hAnsi="Calibri" w:cs="Arial"/>
                <w:b/>
                <w:bCs/>
                <w:sz w:val="20"/>
                <w:szCs w:val="22"/>
                <w:lang w:eastAsia="en-GB"/>
              </w:rPr>
            </w:pPr>
            <w:r>
              <w:rPr>
                <w:sz w:val="20"/>
                <w:szCs w:val="20"/>
                <w:lang w:eastAsia="en-GB"/>
              </w:rPr>
              <w:t>5,85%</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1DF0467B" w14:textId="2337BC78" w:rsidR="004E1DC6" w:rsidRDefault="004E1DC6" w:rsidP="004E1DC6">
            <w:pPr>
              <w:rPr>
                <w:rFonts w:ascii="Calibri" w:hAnsi="Calibri" w:cs="Arial"/>
                <w:b/>
                <w:bCs/>
                <w:sz w:val="20"/>
                <w:szCs w:val="22"/>
                <w:lang w:eastAsia="en-GB"/>
              </w:rPr>
            </w:pPr>
            <w:r w:rsidRPr="005317BF">
              <w:rPr>
                <w:sz w:val="20"/>
                <w:szCs w:val="20"/>
                <w:lang w:eastAsia="en-GB"/>
              </w:rPr>
              <w:t>5,85%</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25CC8DD7" w14:textId="16D15B48" w:rsidR="004E1DC6" w:rsidRDefault="004E1DC6" w:rsidP="004E1DC6">
            <w:pPr>
              <w:rPr>
                <w:rFonts w:ascii="Calibri" w:hAnsi="Calibri" w:cs="Arial"/>
                <w:b/>
                <w:bCs/>
                <w:sz w:val="20"/>
                <w:szCs w:val="22"/>
                <w:lang w:eastAsia="en-GB"/>
              </w:rPr>
            </w:pPr>
            <w:r w:rsidRPr="005317BF">
              <w:rPr>
                <w:sz w:val="20"/>
                <w:szCs w:val="20"/>
                <w:lang w:eastAsia="en-GB"/>
              </w:rPr>
              <w:t>5,85%</w:t>
            </w:r>
          </w:p>
        </w:tc>
        <w:tc>
          <w:tcPr>
            <w:tcW w:w="997" w:type="dxa"/>
            <w:tcBorders>
              <w:top w:val="single" w:sz="4" w:space="0" w:color="auto"/>
              <w:left w:val="single" w:sz="4" w:space="0" w:color="auto"/>
              <w:bottom w:val="single" w:sz="4" w:space="0" w:color="auto"/>
              <w:right w:val="single" w:sz="4" w:space="0" w:color="auto"/>
            </w:tcBorders>
            <w:shd w:val="clear" w:color="auto" w:fill="FFFFFF"/>
            <w:noWrap/>
            <w:hideMark/>
          </w:tcPr>
          <w:p w14:paraId="336A2A94" w14:textId="78A78A32" w:rsidR="004E1DC6" w:rsidRDefault="004E1DC6" w:rsidP="004E1DC6">
            <w:pPr>
              <w:rPr>
                <w:rFonts w:ascii="Calibri" w:hAnsi="Calibri" w:cs="Arial"/>
                <w:b/>
                <w:bCs/>
                <w:sz w:val="20"/>
                <w:szCs w:val="22"/>
                <w:lang w:eastAsia="en-GB"/>
              </w:rPr>
            </w:pPr>
            <w:r w:rsidRPr="005317BF">
              <w:rPr>
                <w:sz w:val="20"/>
                <w:szCs w:val="20"/>
                <w:lang w:eastAsia="en-GB"/>
              </w:rPr>
              <w:t>5,85%</w:t>
            </w:r>
          </w:p>
        </w:tc>
        <w:tc>
          <w:tcPr>
            <w:tcW w:w="1060" w:type="dxa"/>
            <w:tcBorders>
              <w:top w:val="single" w:sz="4" w:space="0" w:color="auto"/>
              <w:left w:val="single" w:sz="4" w:space="0" w:color="auto"/>
              <w:bottom w:val="single" w:sz="4" w:space="0" w:color="auto"/>
              <w:right w:val="single" w:sz="4" w:space="0" w:color="auto"/>
            </w:tcBorders>
            <w:shd w:val="clear" w:color="auto" w:fill="FFFFFF"/>
            <w:noWrap/>
            <w:hideMark/>
          </w:tcPr>
          <w:p w14:paraId="0AF02F75" w14:textId="4E6D88BA" w:rsidR="004E1DC6" w:rsidRDefault="004E1DC6" w:rsidP="004E1DC6">
            <w:pPr>
              <w:rPr>
                <w:rFonts w:ascii="Calibri" w:hAnsi="Calibri" w:cs="Arial"/>
                <w:b/>
                <w:bCs/>
                <w:sz w:val="20"/>
                <w:szCs w:val="22"/>
                <w:highlight w:val="yellow"/>
                <w:lang w:eastAsia="en-GB"/>
              </w:rPr>
            </w:pPr>
            <w:r w:rsidRPr="005317BF">
              <w:rPr>
                <w:sz w:val="20"/>
                <w:szCs w:val="20"/>
                <w:lang w:eastAsia="en-GB"/>
              </w:rPr>
              <w:t>5,85%</w:t>
            </w:r>
          </w:p>
        </w:tc>
      </w:tr>
      <w:bookmarkEnd w:id="1"/>
    </w:tbl>
    <w:p w14:paraId="171057FC" w14:textId="690C1CA9" w:rsidR="002C4F49" w:rsidRDefault="002C4F49">
      <w:pPr>
        <w:spacing w:before="0" w:after="200" w:line="276" w:lineRule="auto"/>
        <w:jc w:val="left"/>
        <w:rPr>
          <w:bCs/>
          <w:iCs/>
          <w:sz w:val="18"/>
          <w:szCs w:val="18"/>
          <w:highlight w:val="yellow"/>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7"/>
      </w:tblGrid>
      <w:tr w:rsidR="002C4F49" w:rsidRPr="00CA5B88" w14:paraId="48C4C283" w14:textId="77777777" w:rsidTr="002C4F49">
        <w:tc>
          <w:tcPr>
            <w:tcW w:w="9067" w:type="dxa"/>
            <w:shd w:val="clear" w:color="auto" w:fill="C6D9F1"/>
          </w:tcPr>
          <w:p w14:paraId="7525DE0E" w14:textId="77777777" w:rsidR="002C4F49" w:rsidRPr="00CA5B88" w:rsidRDefault="002C4F49" w:rsidP="009C3015">
            <w:pPr>
              <w:pStyle w:val="Default"/>
              <w:spacing w:before="60" w:after="60"/>
              <w:rPr>
                <w:rFonts w:ascii="Arial" w:hAnsi="Arial" w:cs="Arial"/>
                <w:b/>
                <w:color w:val="17365D"/>
                <w:sz w:val="20"/>
                <w:szCs w:val="20"/>
              </w:rPr>
            </w:pPr>
            <w:r>
              <w:rPr>
                <w:rFonts w:ascii="Arial" w:hAnsi="Arial" w:cs="Arial"/>
                <w:b/>
                <w:color w:val="17365D"/>
                <w:sz w:val="20"/>
                <w:szCs w:val="20"/>
              </w:rPr>
              <w:t>j</w:t>
            </w:r>
            <w:r w:rsidRPr="00CA5B88">
              <w:rPr>
                <w:rFonts w:ascii="Arial" w:hAnsi="Arial" w:cs="Arial"/>
                <w:b/>
                <w:color w:val="17365D"/>
                <w:sz w:val="20"/>
                <w:szCs w:val="20"/>
              </w:rPr>
              <w:t xml:space="preserve">) </w:t>
            </w:r>
            <w:r>
              <w:rPr>
                <w:rFonts w:ascii="Arial" w:hAnsi="Arial" w:cs="Arial"/>
                <w:b/>
                <w:color w:val="17365D"/>
                <w:sz w:val="20"/>
                <w:szCs w:val="20"/>
              </w:rPr>
              <w:t>D</w:t>
            </w:r>
            <w:r w:rsidRPr="00352E4E">
              <w:rPr>
                <w:rFonts w:ascii="Arial" w:hAnsi="Arial" w:cs="Arial"/>
                <w:b/>
                <w:color w:val="17365D"/>
                <w:sz w:val="20"/>
                <w:szCs w:val="20"/>
              </w:rPr>
              <w:t>escription of the determined costs of common p</w:t>
            </w:r>
            <w:r>
              <w:rPr>
                <w:rFonts w:ascii="Arial" w:hAnsi="Arial" w:cs="Arial"/>
                <w:b/>
                <w:color w:val="17365D"/>
                <w:sz w:val="20"/>
                <w:szCs w:val="20"/>
              </w:rPr>
              <w:t>rojects (point 3.9 of Table 1).</w:t>
            </w:r>
          </w:p>
        </w:tc>
      </w:tr>
    </w:tbl>
    <w:p w14:paraId="3F66E625" w14:textId="77777777" w:rsidR="002C4F49" w:rsidRPr="00601109" w:rsidRDefault="002C4F49" w:rsidP="002C4F49">
      <w:pPr>
        <w:pStyle w:val="Default"/>
        <w:jc w:val="both"/>
        <w:rPr>
          <w:rFonts w:ascii="Arial" w:hAnsi="Arial" w:cs="Arial"/>
          <w:color w:val="17365D"/>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276"/>
        <w:gridCol w:w="1275"/>
        <w:gridCol w:w="1352"/>
        <w:gridCol w:w="1350"/>
        <w:gridCol w:w="1154"/>
      </w:tblGrid>
      <w:tr w:rsidR="002C4F49" w:rsidRPr="006C2F02" w14:paraId="03D3148D" w14:textId="77777777" w:rsidTr="002C4F49">
        <w:trPr>
          <w:trHeight w:val="210"/>
        </w:trPr>
        <w:tc>
          <w:tcPr>
            <w:tcW w:w="9101" w:type="dxa"/>
            <w:gridSpan w:val="6"/>
          </w:tcPr>
          <w:p w14:paraId="6997E903" w14:textId="77777777" w:rsidR="002C4F49" w:rsidRPr="006807C7" w:rsidRDefault="002C4F49" w:rsidP="009C3015">
            <w:pPr>
              <w:pStyle w:val="Default"/>
              <w:jc w:val="center"/>
              <w:rPr>
                <w:b/>
                <w:color w:val="auto"/>
                <w:sz w:val="18"/>
                <w:szCs w:val="18"/>
              </w:rPr>
            </w:pPr>
            <w:proofErr w:type="spellStart"/>
            <w:r>
              <w:rPr>
                <w:b/>
                <w:color w:val="auto"/>
                <w:sz w:val="18"/>
                <w:szCs w:val="18"/>
              </w:rPr>
              <w:t>Avinor</w:t>
            </w:r>
            <w:proofErr w:type="spellEnd"/>
            <w:r>
              <w:rPr>
                <w:b/>
                <w:color w:val="auto"/>
                <w:sz w:val="18"/>
                <w:szCs w:val="18"/>
              </w:rPr>
              <w:t xml:space="preserve"> ANS</w:t>
            </w:r>
          </w:p>
        </w:tc>
      </w:tr>
      <w:tr w:rsidR="002C4F49" w:rsidRPr="006C2F02" w14:paraId="3CB6503A" w14:textId="77777777" w:rsidTr="002C4F49">
        <w:trPr>
          <w:trHeight w:val="210"/>
        </w:trPr>
        <w:tc>
          <w:tcPr>
            <w:tcW w:w="9101" w:type="dxa"/>
            <w:gridSpan w:val="6"/>
          </w:tcPr>
          <w:p w14:paraId="53C80D62" w14:textId="77777777" w:rsidR="002C4F49" w:rsidRPr="006807C7" w:rsidRDefault="002C4F49" w:rsidP="009C3015">
            <w:pPr>
              <w:pStyle w:val="Default"/>
              <w:jc w:val="center"/>
              <w:rPr>
                <w:b/>
                <w:color w:val="auto"/>
                <w:sz w:val="18"/>
                <w:szCs w:val="18"/>
              </w:rPr>
            </w:pPr>
            <w:r w:rsidRPr="006807C7">
              <w:rPr>
                <w:b/>
                <w:color w:val="auto"/>
                <w:sz w:val="18"/>
                <w:szCs w:val="18"/>
              </w:rPr>
              <w:t xml:space="preserve">Determined costs of common projects </w:t>
            </w:r>
            <w:r w:rsidRPr="006807C7">
              <w:rPr>
                <w:rFonts w:cs="Calibri"/>
                <w:b/>
                <w:bCs/>
                <w:sz w:val="18"/>
                <w:szCs w:val="18"/>
              </w:rPr>
              <w:t>(in nominal terms in ‘000 national currency)</w:t>
            </w:r>
          </w:p>
        </w:tc>
      </w:tr>
      <w:tr w:rsidR="002C4F49" w:rsidRPr="003D6459" w14:paraId="5828C986" w14:textId="77777777" w:rsidTr="002C4F49">
        <w:tc>
          <w:tcPr>
            <w:tcW w:w="2694" w:type="dxa"/>
            <w:shd w:val="clear" w:color="auto" w:fill="auto"/>
            <w:vAlign w:val="bottom"/>
          </w:tcPr>
          <w:p w14:paraId="3930A2ED" w14:textId="77777777" w:rsidR="002C4F49" w:rsidRPr="006807C7" w:rsidRDefault="002C4F49" w:rsidP="009C3015">
            <w:pPr>
              <w:spacing w:before="0" w:after="0"/>
              <w:jc w:val="center"/>
              <w:rPr>
                <w:rFonts w:ascii="Calibri" w:hAnsi="Calibri" w:cs="Calibri"/>
                <w:b/>
                <w:sz w:val="18"/>
                <w:szCs w:val="18"/>
              </w:rPr>
            </w:pPr>
            <w:r w:rsidRPr="006807C7">
              <w:rPr>
                <w:rFonts w:ascii="Calibri" w:hAnsi="Calibri" w:cs="Calibri"/>
                <w:b/>
                <w:sz w:val="18"/>
                <w:szCs w:val="18"/>
              </w:rPr>
              <w:t>CP reference</w:t>
            </w:r>
          </w:p>
        </w:tc>
        <w:tc>
          <w:tcPr>
            <w:tcW w:w="1276" w:type="dxa"/>
          </w:tcPr>
          <w:p w14:paraId="19E7407B" w14:textId="77777777" w:rsidR="002C4F49" w:rsidRPr="006807C7" w:rsidRDefault="002C4F49" w:rsidP="009C3015">
            <w:pPr>
              <w:pStyle w:val="Default"/>
              <w:jc w:val="center"/>
              <w:rPr>
                <w:b/>
                <w:bCs/>
                <w:iCs/>
                <w:color w:val="auto"/>
                <w:sz w:val="18"/>
                <w:szCs w:val="18"/>
              </w:rPr>
            </w:pPr>
            <w:r w:rsidRPr="006807C7">
              <w:rPr>
                <w:b/>
                <w:bCs/>
                <w:iCs/>
                <w:color w:val="auto"/>
                <w:sz w:val="18"/>
                <w:szCs w:val="18"/>
              </w:rPr>
              <w:t>2020</w:t>
            </w:r>
          </w:p>
        </w:tc>
        <w:tc>
          <w:tcPr>
            <w:tcW w:w="1275" w:type="dxa"/>
          </w:tcPr>
          <w:p w14:paraId="57A1751D" w14:textId="77777777" w:rsidR="002C4F49" w:rsidRPr="006807C7" w:rsidRDefault="002C4F49" w:rsidP="009C3015">
            <w:pPr>
              <w:pStyle w:val="Default"/>
              <w:jc w:val="center"/>
              <w:rPr>
                <w:b/>
                <w:bCs/>
                <w:iCs/>
                <w:color w:val="auto"/>
                <w:sz w:val="18"/>
                <w:szCs w:val="18"/>
              </w:rPr>
            </w:pPr>
            <w:r w:rsidRPr="006807C7">
              <w:rPr>
                <w:b/>
                <w:bCs/>
                <w:iCs/>
                <w:color w:val="auto"/>
                <w:sz w:val="18"/>
                <w:szCs w:val="18"/>
              </w:rPr>
              <w:t>2021</w:t>
            </w:r>
          </w:p>
        </w:tc>
        <w:tc>
          <w:tcPr>
            <w:tcW w:w="1352" w:type="dxa"/>
          </w:tcPr>
          <w:p w14:paraId="6816CFD8" w14:textId="77777777" w:rsidR="002C4F49" w:rsidRPr="006807C7" w:rsidRDefault="002C4F49" w:rsidP="009C3015">
            <w:pPr>
              <w:pStyle w:val="Default"/>
              <w:jc w:val="center"/>
              <w:rPr>
                <w:b/>
                <w:bCs/>
                <w:iCs/>
                <w:color w:val="auto"/>
                <w:sz w:val="18"/>
                <w:szCs w:val="18"/>
              </w:rPr>
            </w:pPr>
            <w:r w:rsidRPr="006807C7">
              <w:rPr>
                <w:b/>
                <w:bCs/>
                <w:iCs/>
                <w:color w:val="auto"/>
                <w:sz w:val="18"/>
                <w:szCs w:val="18"/>
              </w:rPr>
              <w:t>2022</w:t>
            </w:r>
          </w:p>
        </w:tc>
        <w:tc>
          <w:tcPr>
            <w:tcW w:w="1350" w:type="dxa"/>
            <w:shd w:val="clear" w:color="auto" w:fill="auto"/>
          </w:tcPr>
          <w:p w14:paraId="4E308A67" w14:textId="77777777" w:rsidR="002C4F49" w:rsidRPr="003D6459" w:rsidRDefault="002C4F49" w:rsidP="009C3015">
            <w:pPr>
              <w:pStyle w:val="Default"/>
              <w:jc w:val="center"/>
              <w:rPr>
                <w:b/>
                <w:bCs/>
                <w:iCs/>
                <w:color w:val="auto"/>
                <w:sz w:val="18"/>
                <w:szCs w:val="18"/>
              </w:rPr>
            </w:pPr>
            <w:r w:rsidRPr="003D6459">
              <w:rPr>
                <w:b/>
                <w:bCs/>
                <w:iCs/>
                <w:color w:val="auto"/>
                <w:sz w:val="18"/>
                <w:szCs w:val="18"/>
              </w:rPr>
              <w:t>2023</w:t>
            </w:r>
          </w:p>
        </w:tc>
        <w:tc>
          <w:tcPr>
            <w:tcW w:w="1154" w:type="dxa"/>
          </w:tcPr>
          <w:p w14:paraId="373A71B4" w14:textId="77777777" w:rsidR="002C4F49" w:rsidRPr="003D6459" w:rsidRDefault="002C4F49" w:rsidP="009C3015">
            <w:pPr>
              <w:pStyle w:val="Default"/>
              <w:jc w:val="center"/>
              <w:rPr>
                <w:b/>
                <w:bCs/>
                <w:iCs/>
                <w:color w:val="auto"/>
                <w:sz w:val="18"/>
                <w:szCs w:val="18"/>
              </w:rPr>
            </w:pPr>
            <w:r w:rsidRPr="003D6459">
              <w:rPr>
                <w:b/>
                <w:bCs/>
                <w:iCs/>
                <w:color w:val="auto"/>
                <w:sz w:val="18"/>
                <w:szCs w:val="18"/>
              </w:rPr>
              <w:t>2024</w:t>
            </w:r>
          </w:p>
        </w:tc>
      </w:tr>
      <w:tr w:rsidR="002C4F49" w:rsidRPr="009203C2" w14:paraId="6B6F1B8B" w14:textId="77777777" w:rsidTr="002C4F49">
        <w:tc>
          <w:tcPr>
            <w:tcW w:w="2694" w:type="dxa"/>
            <w:shd w:val="clear" w:color="auto" w:fill="auto"/>
          </w:tcPr>
          <w:p w14:paraId="2FC8104B" w14:textId="77777777" w:rsidR="002C4F49" w:rsidRPr="00D42E5F" w:rsidRDefault="002C4F49" w:rsidP="009C3015">
            <w:pPr>
              <w:pStyle w:val="Default"/>
              <w:rPr>
                <w:bCs/>
                <w:iCs/>
                <w:color w:val="auto"/>
                <w:sz w:val="18"/>
                <w:szCs w:val="18"/>
                <w:lang w:val="en-US"/>
              </w:rPr>
            </w:pPr>
            <w:r w:rsidRPr="00D42E5F">
              <w:rPr>
                <w:bCs/>
                <w:iCs/>
                <w:color w:val="auto"/>
                <w:sz w:val="18"/>
                <w:szCs w:val="18"/>
                <w:lang w:val="en-US"/>
              </w:rPr>
              <w:t>Free Route Airspace functionality (FRA)</w:t>
            </w:r>
          </w:p>
        </w:tc>
        <w:tc>
          <w:tcPr>
            <w:tcW w:w="1276" w:type="dxa"/>
          </w:tcPr>
          <w:p w14:paraId="2925D554" w14:textId="77777777" w:rsidR="002C4F49" w:rsidRPr="006807C7" w:rsidRDefault="002C4F49" w:rsidP="009C3015">
            <w:pPr>
              <w:pStyle w:val="Default"/>
              <w:rPr>
                <w:bCs/>
                <w:iCs/>
                <w:color w:val="auto"/>
                <w:sz w:val="18"/>
                <w:szCs w:val="18"/>
              </w:rPr>
            </w:pPr>
            <w:r w:rsidRPr="006807C7">
              <w:rPr>
                <w:bCs/>
                <w:iCs/>
                <w:color w:val="auto"/>
                <w:sz w:val="18"/>
                <w:szCs w:val="18"/>
                <w:lang w:val="en-US"/>
              </w:rPr>
              <w:t>21 455 KNOK</w:t>
            </w:r>
          </w:p>
        </w:tc>
        <w:tc>
          <w:tcPr>
            <w:tcW w:w="1275" w:type="dxa"/>
          </w:tcPr>
          <w:p w14:paraId="2B75C751" w14:textId="77777777" w:rsidR="002C4F49" w:rsidRPr="006807C7" w:rsidRDefault="002C4F49" w:rsidP="009C3015">
            <w:pPr>
              <w:pStyle w:val="Default"/>
              <w:rPr>
                <w:bCs/>
                <w:iCs/>
                <w:color w:val="auto"/>
                <w:sz w:val="18"/>
                <w:szCs w:val="18"/>
              </w:rPr>
            </w:pPr>
            <w:r w:rsidRPr="006807C7">
              <w:rPr>
                <w:bCs/>
                <w:iCs/>
                <w:color w:val="auto"/>
                <w:sz w:val="18"/>
                <w:szCs w:val="18"/>
                <w:lang w:val="en-US"/>
              </w:rPr>
              <w:t>21 455 KNOK</w:t>
            </w:r>
          </w:p>
        </w:tc>
        <w:tc>
          <w:tcPr>
            <w:tcW w:w="1352" w:type="dxa"/>
          </w:tcPr>
          <w:p w14:paraId="606C330F" w14:textId="77777777" w:rsidR="002C4F49" w:rsidRPr="006807C7" w:rsidRDefault="002C4F49" w:rsidP="009C3015">
            <w:pPr>
              <w:pStyle w:val="Default"/>
              <w:rPr>
                <w:bCs/>
                <w:iCs/>
                <w:color w:val="auto"/>
                <w:sz w:val="18"/>
                <w:szCs w:val="18"/>
              </w:rPr>
            </w:pPr>
            <w:r w:rsidRPr="006807C7">
              <w:rPr>
                <w:bCs/>
                <w:iCs/>
                <w:color w:val="auto"/>
                <w:sz w:val="18"/>
                <w:szCs w:val="18"/>
                <w:lang w:val="en-US"/>
              </w:rPr>
              <w:t>21 455 KNOK</w:t>
            </w:r>
          </w:p>
        </w:tc>
        <w:tc>
          <w:tcPr>
            <w:tcW w:w="1350" w:type="dxa"/>
            <w:shd w:val="clear" w:color="auto" w:fill="auto"/>
          </w:tcPr>
          <w:p w14:paraId="31EFAEFA" w14:textId="77777777" w:rsidR="002C4F49" w:rsidRPr="009203C2" w:rsidRDefault="002C4F49" w:rsidP="009C3015">
            <w:pPr>
              <w:pStyle w:val="Default"/>
              <w:rPr>
                <w:bCs/>
                <w:iCs/>
                <w:color w:val="auto"/>
                <w:sz w:val="18"/>
                <w:szCs w:val="18"/>
              </w:rPr>
            </w:pPr>
          </w:p>
        </w:tc>
        <w:tc>
          <w:tcPr>
            <w:tcW w:w="1154" w:type="dxa"/>
          </w:tcPr>
          <w:p w14:paraId="53186F35" w14:textId="77777777" w:rsidR="002C4F49" w:rsidRPr="009203C2" w:rsidRDefault="002C4F49" w:rsidP="009C3015">
            <w:pPr>
              <w:pStyle w:val="Default"/>
              <w:rPr>
                <w:bCs/>
                <w:iCs/>
                <w:color w:val="auto"/>
                <w:sz w:val="18"/>
                <w:szCs w:val="18"/>
              </w:rPr>
            </w:pPr>
          </w:p>
        </w:tc>
      </w:tr>
      <w:tr w:rsidR="002C4F49" w:rsidRPr="003520B8" w14:paraId="66DAB664" w14:textId="77777777" w:rsidTr="002C4F49">
        <w:tc>
          <w:tcPr>
            <w:tcW w:w="2694" w:type="dxa"/>
            <w:shd w:val="clear" w:color="auto" w:fill="auto"/>
            <w:vAlign w:val="center"/>
          </w:tcPr>
          <w:p w14:paraId="208094CA" w14:textId="77777777" w:rsidR="002C4F49" w:rsidRDefault="002C4F49" w:rsidP="009C3015">
            <w:pPr>
              <w:spacing w:before="0" w:after="0"/>
              <w:jc w:val="left"/>
              <w:rPr>
                <w:rFonts w:ascii="Calibri" w:hAnsi="Calibri" w:cs="Calibri"/>
                <w:sz w:val="18"/>
                <w:szCs w:val="18"/>
              </w:rPr>
            </w:pPr>
          </w:p>
        </w:tc>
        <w:tc>
          <w:tcPr>
            <w:tcW w:w="1276" w:type="dxa"/>
          </w:tcPr>
          <w:p w14:paraId="7FD8D56E" w14:textId="77777777" w:rsidR="002C4F49" w:rsidRPr="003520B8" w:rsidRDefault="002C4F49" w:rsidP="009C3015">
            <w:pPr>
              <w:spacing w:before="0" w:after="0"/>
              <w:jc w:val="left"/>
              <w:rPr>
                <w:rFonts w:ascii="Calibri" w:hAnsi="Calibri" w:cs="Calibri"/>
                <w:sz w:val="18"/>
                <w:szCs w:val="18"/>
              </w:rPr>
            </w:pPr>
          </w:p>
        </w:tc>
        <w:tc>
          <w:tcPr>
            <w:tcW w:w="1275" w:type="dxa"/>
          </w:tcPr>
          <w:p w14:paraId="3C80EB2D" w14:textId="77777777" w:rsidR="002C4F49" w:rsidRPr="003520B8" w:rsidRDefault="002C4F49" w:rsidP="009C3015">
            <w:pPr>
              <w:spacing w:before="0" w:after="0"/>
              <w:jc w:val="left"/>
              <w:rPr>
                <w:rFonts w:ascii="Calibri" w:hAnsi="Calibri" w:cs="Calibri"/>
                <w:sz w:val="18"/>
                <w:szCs w:val="18"/>
              </w:rPr>
            </w:pPr>
          </w:p>
        </w:tc>
        <w:tc>
          <w:tcPr>
            <w:tcW w:w="1352" w:type="dxa"/>
          </w:tcPr>
          <w:p w14:paraId="38CAEDE5" w14:textId="77777777" w:rsidR="002C4F49" w:rsidRPr="003520B8" w:rsidRDefault="002C4F49" w:rsidP="009C3015">
            <w:pPr>
              <w:spacing w:before="0" w:after="0"/>
              <w:jc w:val="left"/>
              <w:rPr>
                <w:rFonts w:ascii="Calibri" w:hAnsi="Calibri" w:cs="Calibri"/>
                <w:sz w:val="18"/>
                <w:szCs w:val="18"/>
              </w:rPr>
            </w:pPr>
          </w:p>
        </w:tc>
        <w:tc>
          <w:tcPr>
            <w:tcW w:w="1350" w:type="dxa"/>
            <w:shd w:val="clear" w:color="auto" w:fill="auto"/>
          </w:tcPr>
          <w:p w14:paraId="5C154E25" w14:textId="77777777" w:rsidR="002C4F49" w:rsidRPr="003520B8" w:rsidRDefault="002C4F49" w:rsidP="009C3015">
            <w:pPr>
              <w:spacing w:before="0" w:after="0"/>
              <w:jc w:val="left"/>
              <w:rPr>
                <w:rFonts w:ascii="Calibri" w:hAnsi="Calibri" w:cs="Calibri"/>
                <w:sz w:val="18"/>
                <w:szCs w:val="18"/>
              </w:rPr>
            </w:pPr>
          </w:p>
        </w:tc>
        <w:tc>
          <w:tcPr>
            <w:tcW w:w="1154" w:type="dxa"/>
          </w:tcPr>
          <w:p w14:paraId="3863C71F" w14:textId="77777777" w:rsidR="002C4F49" w:rsidRPr="003520B8" w:rsidRDefault="002C4F49" w:rsidP="009C3015">
            <w:pPr>
              <w:spacing w:before="0" w:after="0"/>
              <w:jc w:val="left"/>
              <w:rPr>
                <w:rFonts w:ascii="Calibri" w:hAnsi="Calibri" w:cs="Calibri"/>
                <w:sz w:val="18"/>
                <w:szCs w:val="18"/>
              </w:rPr>
            </w:pPr>
          </w:p>
        </w:tc>
      </w:tr>
      <w:tr w:rsidR="002C4F49" w:rsidRPr="009872E2" w14:paraId="7567CF7F" w14:textId="77777777" w:rsidTr="002C4F49">
        <w:tc>
          <w:tcPr>
            <w:tcW w:w="2694" w:type="dxa"/>
            <w:shd w:val="clear" w:color="auto" w:fill="auto"/>
            <w:vAlign w:val="center"/>
          </w:tcPr>
          <w:p w14:paraId="6F941B21" w14:textId="77777777" w:rsidR="002C4F49" w:rsidRPr="009872E2" w:rsidRDefault="002C4F49" w:rsidP="009C3015">
            <w:pPr>
              <w:spacing w:before="0" w:after="0"/>
              <w:jc w:val="left"/>
              <w:rPr>
                <w:rFonts w:ascii="Calibri" w:hAnsi="Calibri" w:cs="Calibri"/>
                <w:b/>
                <w:sz w:val="18"/>
                <w:szCs w:val="18"/>
              </w:rPr>
            </w:pPr>
            <w:r w:rsidRPr="009872E2">
              <w:rPr>
                <w:rFonts w:ascii="Calibri" w:hAnsi="Calibri" w:cs="Calibri"/>
                <w:b/>
                <w:sz w:val="18"/>
                <w:szCs w:val="18"/>
              </w:rPr>
              <w:t>Total (Table 1 item 3.9)</w:t>
            </w:r>
          </w:p>
        </w:tc>
        <w:tc>
          <w:tcPr>
            <w:tcW w:w="1276" w:type="dxa"/>
          </w:tcPr>
          <w:p w14:paraId="1FE1A40C" w14:textId="77777777" w:rsidR="002C4F49" w:rsidRPr="009872E2" w:rsidRDefault="002C4F49" w:rsidP="009C3015">
            <w:pPr>
              <w:spacing w:before="0" w:after="0"/>
              <w:jc w:val="left"/>
              <w:rPr>
                <w:rFonts w:ascii="Calibri" w:hAnsi="Calibri" w:cs="Calibri"/>
                <w:b/>
                <w:sz w:val="18"/>
                <w:szCs w:val="18"/>
              </w:rPr>
            </w:pPr>
            <w:r w:rsidRPr="006807C7">
              <w:rPr>
                <w:bCs/>
                <w:iCs/>
                <w:sz w:val="18"/>
                <w:szCs w:val="18"/>
                <w:lang w:val="en-US"/>
              </w:rPr>
              <w:t>21 455 KNOK</w:t>
            </w:r>
          </w:p>
        </w:tc>
        <w:tc>
          <w:tcPr>
            <w:tcW w:w="1275" w:type="dxa"/>
          </w:tcPr>
          <w:p w14:paraId="2E5F18EF" w14:textId="77777777" w:rsidR="002C4F49" w:rsidRPr="009872E2" w:rsidRDefault="002C4F49" w:rsidP="009C3015">
            <w:pPr>
              <w:spacing w:before="0" w:after="0"/>
              <w:jc w:val="left"/>
              <w:rPr>
                <w:rFonts w:ascii="Calibri" w:hAnsi="Calibri" w:cs="Calibri"/>
                <w:b/>
                <w:sz w:val="18"/>
                <w:szCs w:val="18"/>
              </w:rPr>
            </w:pPr>
            <w:r w:rsidRPr="006807C7">
              <w:rPr>
                <w:bCs/>
                <w:iCs/>
                <w:sz w:val="18"/>
                <w:szCs w:val="18"/>
                <w:lang w:val="en-US"/>
              </w:rPr>
              <w:t>21</w:t>
            </w:r>
            <w:r>
              <w:rPr>
                <w:bCs/>
                <w:iCs/>
                <w:sz w:val="18"/>
                <w:szCs w:val="18"/>
                <w:lang w:val="en-US"/>
              </w:rPr>
              <w:t> </w:t>
            </w:r>
            <w:r w:rsidRPr="006807C7">
              <w:rPr>
                <w:bCs/>
                <w:iCs/>
                <w:sz w:val="18"/>
                <w:szCs w:val="18"/>
                <w:lang w:val="en-US"/>
              </w:rPr>
              <w:t>455</w:t>
            </w:r>
            <w:r>
              <w:rPr>
                <w:bCs/>
                <w:iCs/>
                <w:sz w:val="18"/>
                <w:szCs w:val="18"/>
                <w:lang w:val="en-US"/>
              </w:rPr>
              <w:t xml:space="preserve"> </w:t>
            </w:r>
            <w:r w:rsidRPr="006807C7">
              <w:rPr>
                <w:bCs/>
                <w:iCs/>
                <w:sz w:val="18"/>
                <w:szCs w:val="18"/>
                <w:lang w:val="en-US"/>
              </w:rPr>
              <w:t>NOK</w:t>
            </w:r>
          </w:p>
        </w:tc>
        <w:tc>
          <w:tcPr>
            <w:tcW w:w="1352" w:type="dxa"/>
          </w:tcPr>
          <w:p w14:paraId="114C419F" w14:textId="77777777" w:rsidR="002C4F49" w:rsidRPr="009872E2" w:rsidRDefault="002C4F49" w:rsidP="009C3015">
            <w:pPr>
              <w:spacing w:before="0" w:after="0"/>
              <w:jc w:val="left"/>
              <w:rPr>
                <w:rFonts w:ascii="Calibri" w:hAnsi="Calibri" w:cs="Calibri"/>
                <w:b/>
                <w:sz w:val="18"/>
                <w:szCs w:val="18"/>
              </w:rPr>
            </w:pPr>
            <w:r w:rsidRPr="006807C7">
              <w:rPr>
                <w:bCs/>
                <w:iCs/>
                <w:sz w:val="18"/>
                <w:szCs w:val="18"/>
                <w:lang w:val="en-US"/>
              </w:rPr>
              <w:t>21 455 KNOK</w:t>
            </w:r>
          </w:p>
        </w:tc>
        <w:tc>
          <w:tcPr>
            <w:tcW w:w="1350" w:type="dxa"/>
            <w:shd w:val="clear" w:color="auto" w:fill="auto"/>
          </w:tcPr>
          <w:p w14:paraId="357E3E77" w14:textId="77777777" w:rsidR="002C4F49" w:rsidRPr="009872E2" w:rsidRDefault="002C4F49" w:rsidP="009C3015">
            <w:pPr>
              <w:spacing w:before="0" w:after="0"/>
              <w:jc w:val="left"/>
              <w:rPr>
                <w:rFonts w:ascii="Calibri" w:hAnsi="Calibri" w:cs="Calibri"/>
                <w:b/>
                <w:sz w:val="18"/>
                <w:szCs w:val="18"/>
              </w:rPr>
            </w:pPr>
          </w:p>
        </w:tc>
        <w:tc>
          <w:tcPr>
            <w:tcW w:w="1154" w:type="dxa"/>
          </w:tcPr>
          <w:p w14:paraId="472F1C91" w14:textId="77777777" w:rsidR="002C4F49" w:rsidRPr="009872E2" w:rsidRDefault="002C4F49" w:rsidP="009C3015">
            <w:pPr>
              <w:spacing w:before="0" w:after="0"/>
              <w:jc w:val="left"/>
              <w:rPr>
                <w:rFonts w:ascii="Calibri" w:hAnsi="Calibri" w:cs="Calibri"/>
                <w:b/>
                <w:sz w:val="18"/>
                <w:szCs w:val="18"/>
              </w:rPr>
            </w:pPr>
          </w:p>
        </w:tc>
      </w:tr>
    </w:tbl>
    <w:p w14:paraId="2A903FC3" w14:textId="77777777" w:rsidR="002C4F49" w:rsidRDefault="002C4F49" w:rsidP="002C4F49">
      <w:pPr>
        <w:pStyle w:val="Default"/>
        <w:jc w:val="both"/>
        <w:rPr>
          <w:rFonts w:ascii="Arial" w:hAnsi="Arial" w:cs="Arial"/>
          <w:color w:val="auto"/>
          <w:sz w:val="20"/>
          <w:szCs w:val="20"/>
        </w:rPr>
      </w:pPr>
    </w:p>
    <w:p w14:paraId="10B46F7E" w14:textId="77777777" w:rsidR="002C4F49" w:rsidRDefault="002C4F49">
      <w:pPr>
        <w:spacing w:before="0" w:after="200" w:line="276" w:lineRule="auto"/>
        <w:jc w:val="left"/>
        <w:rPr>
          <w:bCs/>
          <w:iCs/>
          <w:sz w:val="18"/>
          <w:szCs w:val="18"/>
          <w:highlight w:val="yellow"/>
          <w:lang w:val="en-US"/>
        </w:rPr>
      </w:pPr>
    </w:p>
    <w:p w14:paraId="68DB91F3" w14:textId="77777777" w:rsidR="009939E6" w:rsidRDefault="009939E6">
      <w:pPr>
        <w:spacing w:before="0" w:after="200" w:line="276" w:lineRule="auto"/>
        <w:jc w:val="left"/>
        <w:rPr>
          <w:bCs/>
          <w:iCs/>
          <w:sz w:val="18"/>
          <w:szCs w:val="18"/>
          <w:highlight w:val="yellow"/>
          <w:lang w:val="en-US"/>
        </w:rPr>
      </w:pPr>
    </w:p>
    <w:p w14:paraId="6BA02520" w14:textId="77777777" w:rsidR="009939E6" w:rsidRDefault="009939E6">
      <w:pPr>
        <w:spacing w:before="0" w:after="200" w:line="276" w:lineRule="auto"/>
        <w:jc w:val="left"/>
        <w:rPr>
          <w:bCs/>
          <w:iCs/>
          <w:sz w:val="18"/>
          <w:szCs w:val="18"/>
          <w:highlight w:val="yellow"/>
          <w:lang w:val="en-US"/>
        </w:rPr>
      </w:pPr>
    </w:p>
    <w:p w14:paraId="6A0497A8" w14:textId="77777777" w:rsidR="009939E6" w:rsidRDefault="009939E6">
      <w:pPr>
        <w:spacing w:before="0" w:after="200" w:line="276" w:lineRule="auto"/>
        <w:jc w:val="left"/>
        <w:rPr>
          <w:bCs/>
          <w:iCs/>
          <w:sz w:val="18"/>
          <w:szCs w:val="18"/>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EC40E2" w14:paraId="62A206B9" w14:textId="77777777" w:rsidTr="000D6F98">
        <w:trPr>
          <w:trHeight w:val="396"/>
        </w:trPr>
        <w:tc>
          <w:tcPr>
            <w:tcW w:w="9060" w:type="dxa"/>
            <w:shd w:val="clear" w:color="auto" w:fill="C6D9F1"/>
            <w:vAlign w:val="center"/>
          </w:tcPr>
          <w:p w14:paraId="1182D13F" w14:textId="77777777" w:rsidR="00B4267E" w:rsidRPr="00EC40E2" w:rsidRDefault="00B4267E" w:rsidP="00B4267E">
            <w:pPr>
              <w:pStyle w:val="Default"/>
              <w:numPr>
                <w:ilvl w:val="0"/>
                <w:numId w:val="9"/>
              </w:numPr>
              <w:rPr>
                <w:rFonts w:ascii="Arial" w:hAnsi="Arial" w:cs="Arial"/>
                <w:b/>
                <w:color w:val="17365D"/>
                <w:sz w:val="20"/>
                <w:szCs w:val="20"/>
              </w:rPr>
            </w:pPr>
            <w:r>
              <w:rPr>
                <w:rFonts w:ascii="Arial" w:hAnsi="Arial" w:cs="Arial"/>
                <w:b/>
                <w:color w:val="17365D"/>
                <w:sz w:val="20"/>
                <w:szCs w:val="20"/>
              </w:rPr>
              <w:lastRenderedPageBreak/>
              <w:t>Actual costs and unit costs</w:t>
            </w:r>
          </w:p>
        </w:tc>
      </w:tr>
    </w:tbl>
    <w:p w14:paraId="7CE8C0D1" w14:textId="77777777" w:rsidR="00B4267E" w:rsidRDefault="00B4267E" w:rsidP="00B4267E">
      <w:pPr>
        <w:pStyle w:val="Default"/>
        <w:jc w:val="both"/>
        <w:rPr>
          <w:rFonts w:ascii="Arial" w:hAnsi="Arial" w:cs="Arial"/>
          <w:color w:val="17365D"/>
          <w:sz w:val="20"/>
          <w:szCs w:val="20"/>
        </w:rPr>
      </w:pPr>
    </w:p>
    <w:p w14:paraId="083A1B6C" w14:textId="77777777" w:rsidR="00B4267E"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408C5019" w14:textId="77777777" w:rsidTr="00BC0FFA">
        <w:tc>
          <w:tcPr>
            <w:tcW w:w="9242" w:type="dxa"/>
            <w:shd w:val="clear" w:color="auto" w:fill="C6D9F1"/>
          </w:tcPr>
          <w:p w14:paraId="383ABDB3" w14:textId="77777777" w:rsidR="00B4267E" w:rsidRPr="00CA5B88" w:rsidRDefault="00B4267E" w:rsidP="00BC0FFA">
            <w:pPr>
              <w:pStyle w:val="Default"/>
              <w:spacing w:before="60" w:after="60"/>
              <w:rPr>
                <w:rFonts w:ascii="Arial" w:hAnsi="Arial" w:cs="Arial"/>
                <w:b/>
                <w:color w:val="17365D"/>
                <w:sz w:val="20"/>
                <w:szCs w:val="20"/>
              </w:rPr>
            </w:pPr>
            <w:r>
              <w:rPr>
                <w:rFonts w:ascii="Arial" w:hAnsi="Arial" w:cs="Arial"/>
                <w:b/>
                <w:color w:val="17365D"/>
                <w:sz w:val="20"/>
                <w:szCs w:val="20"/>
              </w:rPr>
              <w:t>a</w:t>
            </w:r>
            <w:r w:rsidRPr="00CA5B88">
              <w:rPr>
                <w:rFonts w:ascii="Arial" w:hAnsi="Arial" w:cs="Arial"/>
                <w:b/>
                <w:color w:val="17365D"/>
                <w:sz w:val="20"/>
                <w:szCs w:val="20"/>
              </w:rPr>
              <w:t>)</w:t>
            </w:r>
            <w:r>
              <w:rPr>
                <w:rFonts w:ascii="Arial" w:hAnsi="Arial" w:cs="Arial"/>
                <w:b/>
                <w:color w:val="17365D"/>
                <w:sz w:val="20"/>
                <w:szCs w:val="20"/>
              </w:rPr>
              <w:t xml:space="preserve"> F</w:t>
            </w:r>
            <w:r w:rsidRPr="005C630C">
              <w:rPr>
                <w:rFonts w:ascii="Arial" w:hAnsi="Arial" w:cs="Arial"/>
                <w:b/>
                <w:color w:val="17365D"/>
                <w:sz w:val="20"/>
                <w:szCs w:val="20"/>
              </w:rPr>
              <w:t>or each entity and for each cost item, a description of the reported actual costs and the difference between those costs and the determined costs, for each year of the reference period;</w:t>
            </w:r>
          </w:p>
        </w:tc>
      </w:tr>
    </w:tbl>
    <w:p w14:paraId="61E9A147" w14:textId="77777777" w:rsidR="00B4267E" w:rsidRDefault="00B4267E" w:rsidP="00B4267E">
      <w:pPr>
        <w:pStyle w:val="Default"/>
        <w:jc w:val="both"/>
        <w:rPr>
          <w:rFonts w:ascii="Arial" w:hAnsi="Arial" w:cs="Arial"/>
          <w:color w:val="17365D"/>
          <w:sz w:val="20"/>
          <w:szCs w:val="20"/>
        </w:rPr>
      </w:pPr>
    </w:p>
    <w:p w14:paraId="305D74E5" w14:textId="160506C6" w:rsidR="00771831" w:rsidRDefault="00771831" w:rsidP="00B4267E">
      <w:pPr>
        <w:pStyle w:val="Default"/>
        <w:jc w:val="both"/>
        <w:rPr>
          <w:rFonts w:ascii="Arial" w:hAnsi="Arial" w:cs="Arial"/>
          <w:color w:val="17365D"/>
          <w:sz w:val="20"/>
          <w:szCs w:val="20"/>
        </w:rPr>
      </w:pPr>
    </w:p>
    <w:p w14:paraId="4BB32689" w14:textId="4AB53E65" w:rsidR="003476B4" w:rsidRDefault="002D16A8" w:rsidP="007263D0">
      <w:pPr>
        <w:autoSpaceDE w:val="0"/>
        <w:autoSpaceDN w:val="0"/>
        <w:adjustRightInd w:val="0"/>
        <w:spacing w:before="0" w:after="0"/>
        <w:rPr>
          <w:rFonts w:ascii="Arial" w:eastAsiaTheme="minorHAnsi" w:hAnsi="Arial" w:cs="Arial"/>
          <w:sz w:val="20"/>
          <w:szCs w:val="20"/>
        </w:rPr>
      </w:pPr>
      <w:r w:rsidRPr="002D16A8">
        <w:rPr>
          <w:rFonts w:ascii="Arial" w:eastAsiaTheme="minorHAnsi" w:hAnsi="Arial" w:cs="Arial"/>
          <w:sz w:val="20"/>
          <w:szCs w:val="20"/>
        </w:rPr>
        <w:t xml:space="preserve">As the local cost-efficiency performance targets for RP3 are currently subject to revision as part of the draft performance plans to be submitted by Member States to the Commission by 1 October 2021, </w:t>
      </w:r>
      <w:r>
        <w:rPr>
          <w:rFonts w:ascii="Arial" w:eastAsiaTheme="minorHAnsi" w:hAnsi="Arial" w:cs="Arial"/>
          <w:sz w:val="20"/>
          <w:szCs w:val="20"/>
        </w:rPr>
        <w:t>i</w:t>
      </w:r>
      <w:r w:rsidR="003476B4">
        <w:rPr>
          <w:rFonts w:ascii="Arial" w:eastAsiaTheme="minorHAnsi" w:hAnsi="Arial" w:cs="Arial"/>
          <w:sz w:val="20"/>
          <w:szCs w:val="20"/>
        </w:rPr>
        <w:t xml:space="preserve">n line with the </w:t>
      </w:r>
      <w:r w:rsidR="003476B4" w:rsidRPr="00781B85">
        <w:rPr>
          <w:rFonts w:ascii="Arial" w:eastAsiaTheme="minorHAnsi" w:hAnsi="Arial" w:cs="Arial"/>
          <w:sz w:val="20"/>
          <w:szCs w:val="20"/>
        </w:rPr>
        <w:t xml:space="preserve">exceptional measures for </w:t>
      </w:r>
      <w:r w:rsidR="003476B4">
        <w:rPr>
          <w:rFonts w:ascii="Arial" w:eastAsiaTheme="minorHAnsi" w:hAnsi="Arial" w:cs="Arial"/>
          <w:sz w:val="20"/>
          <w:szCs w:val="20"/>
        </w:rPr>
        <w:t>RP3</w:t>
      </w:r>
      <w:r w:rsidR="003476B4" w:rsidRPr="00781B85">
        <w:rPr>
          <w:rFonts w:ascii="Arial" w:eastAsiaTheme="minorHAnsi" w:hAnsi="Arial" w:cs="Arial"/>
          <w:sz w:val="20"/>
          <w:szCs w:val="20"/>
        </w:rPr>
        <w:t xml:space="preserve"> due to the COVID-19 pandemic</w:t>
      </w:r>
      <w:r w:rsidR="003476B4">
        <w:rPr>
          <w:rFonts w:ascii="Arial" w:eastAsiaTheme="minorHAnsi" w:hAnsi="Arial" w:cs="Arial"/>
          <w:sz w:val="20"/>
          <w:szCs w:val="20"/>
        </w:rPr>
        <w:t xml:space="preserve"> (Regulation </w:t>
      </w:r>
      <w:r w:rsidR="003476B4" w:rsidRPr="00781B85">
        <w:rPr>
          <w:rFonts w:ascii="Arial" w:eastAsiaTheme="minorHAnsi" w:hAnsi="Arial" w:cs="Arial"/>
          <w:sz w:val="20"/>
          <w:szCs w:val="20"/>
        </w:rPr>
        <w:t>(EU) 2020/1627 of 3 November 2020</w:t>
      </w:r>
      <w:r w:rsidR="003476B4">
        <w:rPr>
          <w:rFonts w:ascii="Arial" w:eastAsiaTheme="minorHAnsi" w:hAnsi="Arial" w:cs="Arial"/>
          <w:sz w:val="20"/>
          <w:szCs w:val="20"/>
        </w:rPr>
        <w:t>), the monitoring of the 2020 actual performance is carried out against the 2019 actual performance.</w:t>
      </w:r>
    </w:p>
    <w:p w14:paraId="78915528" w14:textId="77777777" w:rsidR="003476B4" w:rsidRDefault="003476B4" w:rsidP="007263D0">
      <w:pPr>
        <w:autoSpaceDE w:val="0"/>
        <w:autoSpaceDN w:val="0"/>
        <w:adjustRightInd w:val="0"/>
        <w:spacing w:before="0" w:after="0"/>
        <w:rPr>
          <w:rFonts w:ascii="Arial" w:eastAsiaTheme="minorHAnsi" w:hAnsi="Arial" w:cs="Arial"/>
          <w:sz w:val="20"/>
          <w:szCs w:val="20"/>
        </w:rPr>
      </w:pPr>
    </w:p>
    <w:p w14:paraId="7E85EA2F" w14:textId="184AA0DF" w:rsidR="001B6162" w:rsidRDefault="003476B4" w:rsidP="007263D0">
      <w:pPr>
        <w:autoSpaceDE w:val="0"/>
        <w:autoSpaceDN w:val="0"/>
        <w:adjustRightInd w:val="0"/>
        <w:spacing w:before="0" w:after="0"/>
        <w:rPr>
          <w:rFonts w:ascii="Arial" w:eastAsiaTheme="minorHAnsi" w:hAnsi="Arial" w:cs="Arial"/>
          <w:sz w:val="20"/>
          <w:szCs w:val="20"/>
        </w:rPr>
      </w:pPr>
      <w:r>
        <w:rPr>
          <w:rFonts w:ascii="Arial" w:eastAsiaTheme="minorHAnsi" w:hAnsi="Arial" w:cs="Arial"/>
          <w:sz w:val="20"/>
          <w:szCs w:val="20"/>
        </w:rPr>
        <w:t>The main</w:t>
      </w:r>
      <w:r w:rsidR="001B6162">
        <w:rPr>
          <w:rFonts w:ascii="Arial" w:eastAsiaTheme="minorHAnsi" w:hAnsi="Arial" w:cs="Arial"/>
          <w:sz w:val="20"/>
          <w:szCs w:val="20"/>
        </w:rPr>
        <w:t xml:space="preserve"> drivers for differences</w:t>
      </w:r>
      <w:r w:rsidR="00781B85">
        <w:rPr>
          <w:rFonts w:ascii="Arial" w:eastAsiaTheme="minorHAnsi" w:hAnsi="Arial" w:cs="Arial"/>
          <w:sz w:val="20"/>
          <w:szCs w:val="20"/>
        </w:rPr>
        <w:t xml:space="preserve"> </w:t>
      </w:r>
      <w:r w:rsidR="001B6162">
        <w:rPr>
          <w:rFonts w:ascii="Arial" w:eastAsiaTheme="minorHAnsi" w:hAnsi="Arial" w:cs="Arial"/>
          <w:sz w:val="20"/>
          <w:szCs w:val="20"/>
        </w:rPr>
        <w:t xml:space="preserve">between actual data </w:t>
      </w:r>
      <w:r w:rsidR="00781B85">
        <w:rPr>
          <w:rFonts w:ascii="Arial" w:eastAsiaTheme="minorHAnsi" w:hAnsi="Arial" w:cs="Arial"/>
          <w:sz w:val="20"/>
          <w:szCs w:val="20"/>
        </w:rPr>
        <w:t>for 2020 and actual data for 2019</w:t>
      </w:r>
      <w:r>
        <w:rPr>
          <w:rFonts w:ascii="Arial" w:eastAsiaTheme="minorHAnsi" w:hAnsi="Arial" w:cs="Arial"/>
          <w:sz w:val="20"/>
          <w:szCs w:val="20"/>
        </w:rPr>
        <w:t xml:space="preserve"> are presented </w:t>
      </w:r>
      <w:r w:rsidR="001B6162">
        <w:rPr>
          <w:rFonts w:ascii="Arial" w:eastAsiaTheme="minorHAnsi" w:hAnsi="Arial" w:cs="Arial"/>
          <w:sz w:val="20"/>
          <w:szCs w:val="20"/>
        </w:rPr>
        <w:t xml:space="preserve">for each item of cost by nature </w:t>
      </w:r>
      <w:r>
        <w:rPr>
          <w:rFonts w:ascii="Arial" w:eastAsiaTheme="minorHAnsi" w:hAnsi="Arial" w:cs="Arial"/>
          <w:sz w:val="20"/>
          <w:szCs w:val="20"/>
        </w:rPr>
        <w:t xml:space="preserve">in </w:t>
      </w:r>
      <w:r w:rsidR="001B6162">
        <w:rPr>
          <w:rFonts w:ascii="Arial" w:eastAsiaTheme="minorHAnsi" w:hAnsi="Arial" w:cs="Arial"/>
          <w:sz w:val="20"/>
          <w:szCs w:val="20"/>
        </w:rPr>
        <w:t>the tables below.</w:t>
      </w:r>
    </w:p>
    <w:p w14:paraId="646C7A45" w14:textId="24EB5958" w:rsidR="001B6162" w:rsidRDefault="001B6162" w:rsidP="00B4267E">
      <w:pPr>
        <w:pStyle w:val="Default"/>
        <w:jc w:val="both"/>
        <w:rPr>
          <w:rFonts w:ascii="Arial" w:hAnsi="Arial" w:cs="Arial"/>
          <w:color w:val="17365D"/>
          <w:sz w:val="20"/>
          <w:szCs w:val="20"/>
        </w:rPr>
      </w:pPr>
    </w:p>
    <w:p w14:paraId="720B7C03" w14:textId="77777777" w:rsidR="006377CD" w:rsidRDefault="006377CD" w:rsidP="006377CD">
      <w:pPr>
        <w:pStyle w:val="Default"/>
        <w:jc w:val="both"/>
        <w:rPr>
          <w:rFonts w:ascii="Arial" w:hAnsi="Arial" w:cs="Arial"/>
          <w:color w:val="17365D"/>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979"/>
      </w:tblGrid>
      <w:tr w:rsidR="00237BC9" w:rsidRPr="006C2F02" w14:paraId="762782CD" w14:textId="77777777" w:rsidTr="00427C81">
        <w:trPr>
          <w:trHeight w:val="210"/>
        </w:trPr>
        <w:tc>
          <w:tcPr>
            <w:tcW w:w="9101" w:type="dxa"/>
            <w:gridSpan w:val="2"/>
            <w:shd w:val="clear" w:color="auto" w:fill="auto"/>
          </w:tcPr>
          <w:p w14:paraId="3DA1758D" w14:textId="77777777" w:rsidR="006377CD" w:rsidRPr="006C2F02" w:rsidRDefault="006377CD" w:rsidP="00BC0FFA">
            <w:pPr>
              <w:pStyle w:val="Default"/>
              <w:jc w:val="center"/>
              <w:rPr>
                <w:b/>
                <w:color w:val="auto"/>
                <w:sz w:val="18"/>
                <w:szCs w:val="18"/>
              </w:rPr>
            </w:pPr>
            <w:bookmarkStart w:id="2" w:name="_Hlk72225884"/>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2020 vs. 2019</w:t>
            </w:r>
          </w:p>
        </w:tc>
      </w:tr>
      <w:tr w:rsidR="00237BC9" w:rsidRPr="00781B85" w14:paraId="661DFF98" w14:textId="77777777" w:rsidTr="00427C81">
        <w:trPr>
          <w:trHeight w:val="239"/>
        </w:trPr>
        <w:tc>
          <w:tcPr>
            <w:tcW w:w="9101" w:type="dxa"/>
            <w:gridSpan w:val="2"/>
            <w:shd w:val="clear" w:color="auto" w:fill="auto"/>
          </w:tcPr>
          <w:p w14:paraId="64D1F7D8" w14:textId="737005D6" w:rsidR="006377CD" w:rsidRPr="00781B85" w:rsidRDefault="006377CD" w:rsidP="006377CD">
            <w:pPr>
              <w:pStyle w:val="Default"/>
              <w:rPr>
                <w:b/>
                <w:iCs/>
                <w:color w:val="auto"/>
                <w:sz w:val="18"/>
                <w:szCs w:val="18"/>
              </w:rPr>
            </w:pPr>
            <w:r w:rsidRPr="00781B85">
              <w:rPr>
                <w:rFonts w:ascii="Calibri,Bold" w:eastAsiaTheme="minorHAnsi" w:hAnsi="Calibri,Bold" w:cs="Calibri,Bold"/>
                <w:b/>
                <w:bCs/>
                <w:sz w:val="18"/>
                <w:szCs w:val="18"/>
              </w:rPr>
              <w:t xml:space="preserve">ANSP: </w:t>
            </w:r>
            <w:proofErr w:type="spellStart"/>
            <w:r w:rsidR="00A85BB1">
              <w:rPr>
                <w:rFonts w:ascii="Calibri,Bold" w:eastAsiaTheme="minorHAnsi" w:hAnsi="Calibri,Bold" w:cs="Calibri,Bold"/>
                <w:b/>
                <w:bCs/>
                <w:color w:val="0070C1"/>
                <w:sz w:val="18"/>
                <w:szCs w:val="18"/>
              </w:rPr>
              <w:t>Avinor</w:t>
            </w:r>
            <w:proofErr w:type="spellEnd"/>
            <w:r w:rsidR="00A85BB1">
              <w:rPr>
                <w:rFonts w:ascii="Calibri,Bold" w:eastAsiaTheme="minorHAnsi" w:hAnsi="Calibri,Bold" w:cs="Calibri,Bold"/>
                <w:b/>
                <w:bCs/>
                <w:color w:val="0070C1"/>
                <w:sz w:val="18"/>
                <w:szCs w:val="18"/>
              </w:rPr>
              <w:t xml:space="preserve"> ANS</w:t>
            </w:r>
          </w:p>
        </w:tc>
      </w:tr>
      <w:tr w:rsidR="00237BC9" w:rsidRPr="009A19BC" w14:paraId="4416B3B6" w14:textId="77777777" w:rsidTr="00427C81">
        <w:tc>
          <w:tcPr>
            <w:tcW w:w="2122" w:type="dxa"/>
            <w:shd w:val="clear" w:color="auto" w:fill="auto"/>
          </w:tcPr>
          <w:p w14:paraId="27E35A2A" w14:textId="77777777" w:rsidR="006377CD" w:rsidRPr="009A19BC" w:rsidRDefault="006377CD" w:rsidP="006377CD">
            <w:pPr>
              <w:pStyle w:val="Default"/>
              <w:jc w:val="both"/>
              <w:rPr>
                <w:bCs/>
                <w:color w:val="auto"/>
                <w:sz w:val="18"/>
                <w:szCs w:val="18"/>
              </w:rPr>
            </w:pPr>
            <w:r w:rsidRPr="009A19BC">
              <w:rPr>
                <w:bCs/>
                <w:color w:val="auto"/>
                <w:sz w:val="18"/>
                <w:szCs w:val="18"/>
              </w:rPr>
              <w:t xml:space="preserve">1.1 </w:t>
            </w:r>
            <w:r w:rsidRPr="00781B85">
              <w:rPr>
                <w:bCs/>
                <w:color w:val="auto"/>
                <w:sz w:val="18"/>
                <w:szCs w:val="18"/>
              </w:rPr>
              <w:t>Staff c</w:t>
            </w:r>
            <w:r w:rsidRPr="009A19BC">
              <w:rPr>
                <w:bCs/>
                <w:color w:val="auto"/>
                <w:sz w:val="18"/>
                <w:szCs w:val="18"/>
              </w:rPr>
              <w:t>osts</w:t>
            </w:r>
          </w:p>
        </w:tc>
        <w:tc>
          <w:tcPr>
            <w:tcW w:w="6979" w:type="dxa"/>
            <w:shd w:val="clear" w:color="auto" w:fill="auto"/>
          </w:tcPr>
          <w:p w14:paraId="30C710BF" w14:textId="28FCBDD9" w:rsidR="00B30327" w:rsidRDefault="00B30327" w:rsidP="00E33CCC">
            <w:pPr>
              <w:rPr>
                <w:rFonts w:ascii="Calibri" w:hAnsi="Calibri"/>
                <w:bCs/>
                <w:iCs/>
                <w:sz w:val="18"/>
                <w:szCs w:val="18"/>
              </w:rPr>
            </w:pPr>
            <w:r w:rsidRPr="008F2082">
              <w:rPr>
                <w:rFonts w:ascii="Calibri" w:hAnsi="Calibri"/>
                <w:bCs/>
                <w:iCs/>
                <w:sz w:val="18"/>
                <w:szCs w:val="18"/>
              </w:rPr>
              <w:t>A</w:t>
            </w:r>
            <w:r w:rsidR="004C4B2D">
              <w:rPr>
                <w:rFonts w:ascii="Calibri" w:hAnsi="Calibri"/>
                <w:bCs/>
                <w:iCs/>
                <w:sz w:val="18"/>
                <w:szCs w:val="18"/>
              </w:rPr>
              <w:t>n</w:t>
            </w:r>
            <w:r w:rsidRPr="008F2082">
              <w:rPr>
                <w:rFonts w:ascii="Calibri" w:hAnsi="Calibri"/>
                <w:bCs/>
                <w:iCs/>
                <w:sz w:val="18"/>
                <w:szCs w:val="18"/>
              </w:rPr>
              <w:t xml:space="preserve"> </w:t>
            </w:r>
            <w:r w:rsidR="004C4B2D">
              <w:rPr>
                <w:rFonts w:ascii="Calibri" w:hAnsi="Calibri"/>
                <w:bCs/>
                <w:iCs/>
                <w:sz w:val="18"/>
                <w:szCs w:val="18"/>
              </w:rPr>
              <w:t>adjustment</w:t>
            </w:r>
            <w:r w:rsidRPr="008F2082">
              <w:rPr>
                <w:rFonts w:ascii="Calibri" w:hAnsi="Calibri"/>
                <w:bCs/>
                <w:iCs/>
                <w:sz w:val="18"/>
                <w:szCs w:val="18"/>
              </w:rPr>
              <w:t xml:space="preserve"> is made to the 2020 actuals compared to the June submission. Rent</w:t>
            </w:r>
            <w:r w:rsidR="008F2082" w:rsidRPr="004C4B2D">
              <w:rPr>
                <w:rFonts w:ascii="Calibri" w:hAnsi="Calibri"/>
                <w:bCs/>
                <w:iCs/>
                <w:sz w:val="18"/>
                <w:szCs w:val="18"/>
              </w:rPr>
              <w:t>/leases</w:t>
            </w:r>
            <w:r w:rsidRPr="008F2082">
              <w:rPr>
                <w:rFonts w:ascii="Calibri" w:hAnsi="Calibri"/>
                <w:bCs/>
                <w:iCs/>
                <w:sz w:val="18"/>
                <w:szCs w:val="18"/>
              </w:rPr>
              <w:t xml:space="preserve"> </w:t>
            </w:r>
            <w:r w:rsidRPr="00485A1F">
              <w:rPr>
                <w:rFonts w:ascii="Calibri" w:hAnsi="Calibri"/>
                <w:bCs/>
                <w:iCs/>
                <w:sz w:val="18"/>
                <w:szCs w:val="18"/>
              </w:rPr>
              <w:t>w</w:t>
            </w:r>
            <w:r w:rsidR="008F2082" w:rsidRPr="004C4B2D">
              <w:rPr>
                <w:rFonts w:ascii="Calibri" w:hAnsi="Calibri"/>
                <w:bCs/>
                <w:iCs/>
                <w:sz w:val="18"/>
                <w:szCs w:val="18"/>
              </w:rPr>
              <w:t>ere</w:t>
            </w:r>
            <w:r w:rsidRPr="008F2082">
              <w:rPr>
                <w:rFonts w:ascii="Calibri" w:hAnsi="Calibri"/>
                <w:bCs/>
                <w:iCs/>
                <w:sz w:val="18"/>
                <w:szCs w:val="18"/>
              </w:rPr>
              <w:t xml:space="preserve"> reclassified in the financial accounts for 2020, from other operating cost to depreciation, due to the implementation of IFRS 16. This cost item was incorrectly not included in any of the two cost categories in the reporting tables as per June. As a consequence</w:t>
            </w:r>
            <w:r w:rsidR="00E74A30" w:rsidRPr="004C4B2D">
              <w:rPr>
                <w:rFonts w:ascii="Calibri" w:hAnsi="Calibri"/>
                <w:bCs/>
                <w:iCs/>
                <w:sz w:val="18"/>
                <w:szCs w:val="18"/>
              </w:rPr>
              <w:t>,</w:t>
            </w:r>
            <w:r w:rsidRPr="008F2082">
              <w:rPr>
                <w:rFonts w:ascii="Calibri" w:hAnsi="Calibri"/>
                <w:bCs/>
                <w:iCs/>
                <w:sz w:val="18"/>
                <w:szCs w:val="18"/>
              </w:rPr>
              <w:t xml:space="preserve"> the </w:t>
            </w:r>
            <w:r w:rsidRPr="00485A1F">
              <w:rPr>
                <w:rFonts w:ascii="Calibri" w:hAnsi="Calibri"/>
                <w:bCs/>
                <w:iCs/>
                <w:sz w:val="18"/>
                <w:szCs w:val="18"/>
              </w:rPr>
              <w:t xml:space="preserve">depreciation for 2020 has increased by 28,2 </w:t>
            </w:r>
            <w:proofErr w:type="spellStart"/>
            <w:r w:rsidRPr="00485A1F">
              <w:rPr>
                <w:rFonts w:ascii="Calibri" w:hAnsi="Calibri"/>
                <w:bCs/>
                <w:iCs/>
                <w:sz w:val="18"/>
                <w:szCs w:val="18"/>
              </w:rPr>
              <w:t>mnok</w:t>
            </w:r>
            <w:proofErr w:type="spellEnd"/>
            <w:r w:rsidR="001B3E69" w:rsidRPr="008F2082">
              <w:rPr>
                <w:rFonts w:ascii="Calibri" w:hAnsi="Calibri"/>
                <w:bCs/>
                <w:iCs/>
                <w:sz w:val="18"/>
                <w:szCs w:val="18"/>
              </w:rPr>
              <w:t xml:space="preserve"> in the </w:t>
            </w:r>
            <w:r w:rsidR="00154E9C" w:rsidRPr="008F2082">
              <w:rPr>
                <w:rFonts w:ascii="Calibri" w:hAnsi="Calibri"/>
                <w:bCs/>
                <w:iCs/>
                <w:sz w:val="18"/>
                <w:szCs w:val="18"/>
              </w:rPr>
              <w:t xml:space="preserve">October </w:t>
            </w:r>
            <w:r w:rsidR="001B3E69" w:rsidRPr="008F2082">
              <w:rPr>
                <w:rFonts w:ascii="Calibri" w:hAnsi="Calibri"/>
                <w:bCs/>
                <w:iCs/>
                <w:sz w:val="18"/>
                <w:szCs w:val="18"/>
              </w:rPr>
              <w:t>2021 submission.</w:t>
            </w:r>
            <w:r w:rsidR="001B3E69">
              <w:rPr>
                <w:rFonts w:ascii="Calibri" w:hAnsi="Calibri"/>
                <w:bCs/>
                <w:iCs/>
                <w:sz w:val="18"/>
                <w:szCs w:val="18"/>
              </w:rPr>
              <w:t xml:space="preserve"> </w:t>
            </w:r>
          </w:p>
          <w:p w14:paraId="52102092" w14:textId="77777777" w:rsidR="00B30327" w:rsidRDefault="00B30327" w:rsidP="00E33CCC">
            <w:pPr>
              <w:rPr>
                <w:rFonts w:ascii="Calibri" w:hAnsi="Calibri"/>
                <w:bCs/>
                <w:iCs/>
                <w:sz w:val="18"/>
                <w:szCs w:val="18"/>
              </w:rPr>
            </w:pPr>
          </w:p>
          <w:p w14:paraId="155FA62C" w14:textId="193DA767" w:rsidR="00976F4E" w:rsidRDefault="00976F4E" w:rsidP="00E33CCC">
            <w:pPr>
              <w:rPr>
                <w:rFonts w:ascii="Calibri" w:hAnsi="Calibri"/>
                <w:bCs/>
                <w:iCs/>
                <w:sz w:val="18"/>
                <w:szCs w:val="18"/>
              </w:rPr>
            </w:pPr>
            <w:r w:rsidRPr="00501A40">
              <w:rPr>
                <w:rFonts w:ascii="Calibri" w:hAnsi="Calibri"/>
                <w:bCs/>
                <w:iCs/>
                <w:sz w:val="18"/>
                <w:szCs w:val="18"/>
              </w:rPr>
              <w:t xml:space="preserve">The cost reduction from 2019 to 2020 is </w:t>
            </w:r>
            <w:r w:rsidR="006760BA">
              <w:rPr>
                <w:rFonts w:ascii="Calibri" w:hAnsi="Calibri"/>
                <w:bCs/>
                <w:iCs/>
                <w:sz w:val="18"/>
                <w:szCs w:val="18"/>
              </w:rPr>
              <w:t>approx. -</w:t>
            </w:r>
            <w:r w:rsidR="005E3610">
              <w:rPr>
                <w:rFonts w:ascii="Calibri" w:hAnsi="Calibri"/>
                <w:bCs/>
                <w:iCs/>
                <w:sz w:val="18"/>
                <w:szCs w:val="18"/>
              </w:rPr>
              <w:t>94</w:t>
            </w:r>
            <w:r w:rsidR="00501A40">
              <w:rPr>
                <w:rFonts w:ascii="Calibri" w:hAnsi="Calibri"/>
                <w:bCs/>
                <w:iCs/>
                <w:sz w:val="18"/>
                <w:szCs w:val="18"/>
              </w:rPr>
              <w:t xml:space="preserve"> </w:t>
            </w:r>
            <w:proofErr w:type="spellStart"/>
            <w:r w:rsidR="00501A40">
              <w:rPr>
                <w:rFonts w:ascii="Calibri" w:hAnsi="Calibri"/>
                <w:bCs/>
                <w:iCs/>
                <w:sz w:val="18"/>
                <w:szCs w:val="18"/>
              </w:rPr>
              <w:t>mnok</w:t>
            </w:r>
            <w:proofErr w:type="spellEnd"/>
            <w:r w:rsidR="00501A40">
              <w:rPr>
                <w:rFonts w:ascii="Calibri" w:hAnsi="Calibri"/>
                <w:bCs/>
                <w:iCs/>
                <w:sz w:val="18"/>
                <w:szCs w:val="18"/>
              </w:rPr>
              <w:t xml:space="preserve"> / </w:t>
            </w:r>
            <w:r w:rsidR="006760BA">
              <w:rPr>
                <w:rFonts w:ascii="Calibri" w:hAnsi="Calibri"/>
                <w:bCs/>
                <w:iCs/>
                <w:sz w:val="18"/>
                <w:szCs w:val="18"/>
              </w:rPr>
              <w:t>-</w:t>
            </w:r>
            <w:r w:rsidR="005E3610">
              <w:rPr>
                <w:rFonts w:ascii="Calibri" w:hAnsi="Calibri"/>
                <w:bCs/>
                <w:iCs/>
                <w:sz w:val="18"/>
                <w:szCs w:val="18"/>
              </w:rPr>
              <w:t>8,4</w:t>
            </w:r>
            <w:r w:rsidRPr="00501A40">
              <w:rPr>
                <w:rFonts w:ascii="Calibri" w:hAnsi="Calibri"/>
                <w:bCs/>
                <w:iCs/>
                <w:sz w:val="18"/>
                <w:szCs w:val="18"/>
              </w:rPr>
              <w:t xml:space="preserve"> %</w:t>
            </w:r>
            <w:r w:rsidR="007235BE">
              <w:rPr>
                <w:rFonts w:ascii="Calibri" w:hAnsi="Calibri"/>
                <w:bCs/>
                <w:iCs/>
                <w:sz w:val="18"/>
                <w:szCs w:val="18"/>
              </w:rPr>
              <w:t xml:space="preserve"> </w:t>
            </w:r>
            <w:r w:rsidR="00A27F3C">
              <w:rPr>
                <w:rFonts w:ascii="Calibri" w:hAnsi="Calibri"/>
                <w:bCs/>
                <w:iCs/>
                <w:sz w:val="18"/>
                <w:szCs w:val="18"/>
              </w:rPr>
              <w:t xml:space="preserve">in </w:t>
            </w:r>
            <w:r w:rsidR="007235BE">
              <w:rPr>
                <w:rFonts w:ascii="Calibri" w:hAnsi="Calibri"/>
                <w:bCs/>
                <w:iCs/>
                <w:sz w:val="18"/>
                <w:szCs w:val="18"/>
              </w:rPr>
              <w:t>real terms</w:t>
            </w:r>
            <w:r w:rsidRPr="00501A40">
              <w:rPr>
                <w:rFonts w:ascii="Calibri" w:hAnsi="Calibri"/>
                <w:bCs/>
                <w:iCs/>
                <w:sz w:val="18"/>
                <w:szCs w:val="18"/>
              </w:rPr>
              <w:t>,</w:t>
            </w:r>
            <w:r w:rsidR="00242CC3">
              <w:rPr>
                <w:rFonts w:ascii="Calibri" w:hAnsi="Calibri"/>
                <w:bCs/>
                <w:iCs/>
                <w:sz w:val="18"/>
                <w:szCs w:val="18"/>
              </w:rPr>
              <w:t xml:space="preserve"> ref. </w:t>
            </w:r>
            <w:r w:rsidRPr="00501A40">
              <w:rPr>
                <w:rFonts w:ascii="Calibri" w:hAnsi="Calibri"/>
                <w:bCs/>
                <w:iCs/>
                <w:sz w:val="18"/>
                <w:szCs w:val="18"/>
              </w:rPr>
              <w:t>Table 1, item 5.3. However</w:t>
            </w:r>
            <w:r w:rsidR="006760BA">
              <w:rPr>
                <w:rFonts w:ascii="Calibri" w:hAnsi="Calibri"/>
                <w:bCs/>
                <w:iCs/>
                <w:sz w:val="18"/>
                <w:szCs w:val="18"/>
              </w:rPr>
              <w:t xml:space="preserve">, </w:t>
            </w:r>
            <w:r w:rsidR="00A27F3C">
              <w:rPr>
                <w:rFonts w:ascii="Calibri" w:hAnsi="Calibri"/>
                <w:bCs/>
                <w:iCs/>
                <w:sz w:val="18"/>
                <w:szCs w:val="18"/>
              </w:rPr>
              <w:t>a</w:t>
            </w:r>
            <w:r w:rsidRPr="00501A40">
              <w:rPr>
                <w:rFonts w:ascii="Calibri" w:hAnsi="Calibri"/>
                <w:bCs/>
                <w:iCs/>
                <w:sz w:val="18"/>
                <w:szCs w:val="18"/>
              </w:rPr>
              <w:t xml:space="preserve"> baseline adjustment of </w:t>
            </w:r>
            <w:r w:rsidR="006760BA">
              <w:rPr>
                <w:rFonts w:ascii="Calibri" w:hAnsi="Calibri"/>
                <w:bCs/>
                <w:iCs/>
                <w:sz w:val="18"/>
                <w:szCs w:val="18"/>
              </w:rPr>
              <w:t>+</w:t>
            </w:r>
            <w:r w:rsidRPr="00501A40">
              <w:rPr>
                <w:rFonts w:ascii="Calibri" w:hAnsi="Calibri"/>
                <w:bCs/>
                <w:iCs/>
                <w:sz w:val="18"/>
                <w:szCs w:val="18"/>
              </w:rPr>
              <w:t xml:space="preserve">160 </w:t>
            </w:r>
            <w:proofErr w:type="spellStart"/>
            <w:r w:rsidRPr="00501A40">
              <w:rPr>
                <w:rFonts w:ascii="Calibri" w:hAnsi="Calibri"/>
                <w:bCs/>
                <w:iCs/>
                <w:sz w:val="18"/>
                <w:szCs w:val="18"/>
              </w:rPr>
              <w:t>mnok</w:t>
            </w:r>
            <w:proofErr w:type="spellEnd"/>
            <w:r w:rsidRPr="00501A40">
              <w:rPr>
                <w:rFonts w:ascii="Calibri" w:hAnsi="Calibri"/>
                <w:bCs/>
                <w:iCs/>
                <w:sz w:val="18"/>
                <w:szCs w:val="18"/>
              </w:rPr>
              <w:t xml:space="preserve"> </w:t>
            </w:r>
            <w:r w:rsidR="00066131" w:rsidRPr="00501A40">
              <w:rPr>
                <w:rFonts w:ascii="Calibri" w:hAnsi="Calibri"/>
                <w:bCs/>
                <w:iCs/>
                <w:sz w:val="18"/>
                <w:szCs w:val="18"/>
              </w:rPr>
              <w:t xml:space="preserve">is included in this </w:t>
            </w:r>
            <w:r w:rsidR="000263BD">
              <w:rPr>
                <w:rFonts w:ascii="Calibri" w:hAnsi="Calibri"/>
                <w:bCs/>
                <w:iCs/>
                <w:sz w:val="18"/>
                <w:szCs w:val="18"/>
              </w:rPr>
              <w:t>cost reduction</w:t>
            </w:r>
            <w:r w:rsidR="00066131" w:rsidRPr="00501A40">
              <w:rPr>
                <w:rFonts w:ascii="Calibri" w:hAnsi="Calibri"/>
                <w:bCs/>
                <w:iCs/>
                <w:sz w:val="18"/>
                <w:szCs w:val="18"/>
              </w:rPr>
              <w:t xml:space="preserve">. </w:t>
            </w:r>
            <w:r w:rsidR="000263BD" w:rsidRPr="000263BD">
              <w:rPr>
                <w:rFonts w:ascii="Calibri" w:hAnsi="Calibri"/>
                <w:bCs/>
                <w:iCs/>
                <w:sz w:val="18"/>
                <w:szCs w:val="18"/>
              </w:rPr>
              <w:t>If disregard</w:t>
            </w:r>
            <w:r w:rsidR="000263BD">
              <w:rPr>
                <w:rFonts w:ascii="Calibri" w:hAnsi="Calibri"/>
                <w:bCs/>
                <w:iCs/>
                <w:sz w:val="18"/>
                <w:szCs w:val="18"/>
              </w:rPr>
              <w:t xml:space="preserve">ing </w:t>
            </w:r>
            <w:r w:rsidR="00BD2DFC">
              <w:rPr>
                <w:rFonts w:ascii="Calibri" w:hAnsi="Calibri"/>
                <w:bCs/>
                <w:iCs/>
                <w:sz w:val="18"/>
                <w:szCs w:val="18"/>
              </w:rPr>
              <w:t>the baseline adjustment</w:t>
            </w:r>
            <w:r w:rsidR="00066131" w:rsidRPr="00501A40">
              <w:rPr>
                <w:rFonts w:ascii="Calibri" w:hAnsi="Calibri"/>
                <w:bCs/>
                <w:iCs/>
                <w:sz w:val="18"/>
                <w:szCs w:val="18"/>
              </w:rPr>
              <w:t xml:space="preserve">, the cost reduction </w:t>
            </w:r>
            <w:r w:rsidR="007235BE">
              <w:rPr>
                <w:rFonts w:ascii="Calibri" w:hAnsi="Calibri"/>
                <w:bCs/>
                <w:iCs/>
                <w:sz w:val="18"/>
                <w:szCs w:val="18"/>
              </w:rPr>
              <w:t xml:space="preserve">from 2019 </w:t>
            </w:r>
            <w:r w:rsidR="00A27F3C">
              <w:rPr>
                <w:rFonts w:ascii="Calibri" w:hAnsi="Calibri"/>
                <w:bCs/>
                <w:iCs/>
                <w:sz w:val="18"/>
                <w:szCs w:val="18"/>
              </w:rPr>
              <w:t xml:space="preserve">to </w:t>
            </w:r>
            <w:r w:rsidR="007235BE">
              <w:rPr>
                <w:rFonts w:ascii="Calibri" w:hAnsi="Calibri"/>
                <w:bCs/>
                <w:iCs/>
                <w:sz w:val="18"/>
                <w:szCs w:val="18"/>
              </w:rPr>
              <w:t xml:space="preserve">2020 </w:t>
            </w:r>
            <w:r w:rsidR="00066131" w:rsidRPr="00501A40">
              <w:rPr>
                <w:rFonts w:ascii="Calibri" w:hAnsi="Calibri"/>
                <w:bCs/>
                <w:iCs/>
                <w:sz w:val="18"/>
                <w:szCs w:val="18"/>
              </w:rPr>
              <w:t xml:space="preserve">is </w:t>
            </w:r>
            <w:r w:rsidR="006760BA">
              <w:rPr>
                <w:rFonts w:ascii="Calibri" w:hAnsi="Calibri"/>
                <w:bCs/>
                <w:iCs/>
                <w:sz w:val="18"/>
                <w:szCs w:val="18"/>
              </w:rPr>
              <w:t>approx. -</w:t>
            </w:r>
            <w:r w:rsidR="00501A40">
              <w:rPr>
                <w:rFonts w:ascii="Calibri" w:hAnsi="Calibri"/>
                <w:bCs/>
                <w:iCs/>
                <w:sz w:val="18"/>
                <w:szCs w:val="18"/>
              </w:rPr>
              <w:t>2</w:t>
            </w:r>
            <w:r w:rsidR="00B30327">
              <w:rPr>
                <w:rFonts w:ascii="Calibri" w:hAnsi="Calibri"/>
                <w:bCs/>
                <w:iCs/>
                <w:sz w:val="18"/>
                <w:szCs w:val="18"/>
              </w:rPr>
              <w:t>54</w:t>
            </w:r>
            <w:r w:rsidR="00501A40">
              <w:rPr>
                <w:rFonts w:ascii="Calibri" w:hAnsi="Calibri"/>
                <w:bCs/>
                <w:iCs/>
                <w:sz w:val="18"/>
                <w:szCs w:val="18"/>
              </w:rPr>
              <w:t xml:space="preserve"> </w:t>
            </w:r>
            <w:proofErr w:type="spellStart"/>
            <w:r w:rsidR="00501A40">
              <w:rPr>
                <w:rFonts w:ascii="Calibri" w:hAnsi="Calibri"/>
                <w:bCs/>
                <w:iCs/>
                <w:sz w:val="18"/>
                <w:szCs w:val="18"/>
              </w:rPr>
              <w:t>mnok</w:t>
            </w:r>
            <w:proofErr w:type="spellEnd"/>
            <w:r w:rsidR="00501A40">
              <w:rPr>
                <w:rFonts w:ascii="Calibri" w:hAnsi="Calibri"/>
                <w:bCs/>
                <w:iCs/>
                <w:sz w:val="18"/>
                <w:szCs w:val="18"/>
              </w:rPr>
              <w:t xml:space="preserve"> / </w:t>
            </w:r>
            <w:r w:rsidR="006760BA">
              <w:rPr>
                <w:rFonts w:ascii="Calibri" w:hAnsi="Calibri"/>
                <w:bCs/>
                <w:iCs/>
                <w:sz w:val="18"/>
                <w:szCs w:val="18"/>
              </w:rPr>
              <w:t>-</w:t>
            </w:r>
            <w:r w:rsidR="00501A40">
              <w:rPr>
                <w:rFonts w:ascii="Calibri" w:hAnsi="Calibri"/>
                <w:bCs/>
                <w:iCs/>
                <w:sz w:val="18"/>
                <w:szCs w:val="18"/>
              </w:rPr>
              <w:t>2</w:t>
            </w:r>
            <w:r w:rsidR="00B30327">
              <w:rPr>
                <w:rFonts w:ascii="Calibri" w:hAnsi="Calibri"/>
                <w:bCs/>
                <w:iCs/>
                <w:sz w:val="18"/>
                <w:szCs w:val="18"/>
              </w:rPr>
              <w:t>0</w:t>
            </w:r>
            <w:r w:rsidR="00501A40">
              <w:rPr>
                <w:rFonts w:ascii="Calibri" w:hAnsi="Calibri"/>
                <w:bCs/>
                <w:iCs/>
                <w:sz w:val="18"/>
                <w:szCs w:val="18"/>
              </w:rPr>
              <w:t xml:space="preserve"> %. </w:t>
            </w:r>
            <w:r w:rsidR="00BD2DFC">
              <w:rPr>
                <w:rFonts w:ascii="Calibri" w:hAnsi="Calibri"/>
                <w:bCs/>
                <w:iCs/>
                <w:sz w:val="18"/>
                <w:szCs w:val="18"/>
              </w:rPr>
              <w:t xml:space="preserve">Please see </w:t>
            </w:r>
            <w:r w:rsidR="00BD2DFC" w:rsidRPr="00242CC3">
              <w:rPr>
                <w:rFonts w:ascii="Calibri" w:hAnsi="Calibri"/>
                <w:bCs/>
                <w:i/>
                <w:sz w:val="18"/>
                <w:szCs w:val="18"/>
              </w:rPr>
              <w:t>1f, 1.1.</w:t>
            </w:r>
            <w:r w:rsidR="00242CC3" w:rsidRPr="00242CC3">
              <w:rPr>
                <w:rFonts w:ascii="Calibri" w:hAnsi="Calibri"/>
                <w:bCs/>
                <w:i/>
                <w:sz w:val="18"/>
                <w:szCs w:val="18"/>
              </w:rPr>
              <w:t xml:space="preserve"> Staff cost</w:t>
            </w:r>
            <w:r w:rsidR="00BD2DFC">
              <w:rPr>
                <w:rFonts w:ascii="Calibri" w:hAnsi="Calibri"/>
                <w:bCs/>
                <w:iCs/>
                <w:sz w:val="18"/>
                <w:szCs w:val="18"/>
              </w:rPr>
              <w:t xml:space="preserve"> for more information on cost containment measures. </w:t>
            </w:r>
          </w:p>
          <w:p w14:paraId="7D22CE70" w14:textId="6F0286C2" w:rsidR="00735BE8" w:rsidRDefault="00540C30" w:rsidP="00E33CCC">
            <w:pPr>
              <w:rPr>
                <w:rFonts w:ascii="Calibri" w:hAnsi="Calibri"/>
                <w:bCs/>
                <w:iCs/>
                <w:sz w:val="18"/>
                <w:szCs w:val="18"/>
              </w:rPr>
            </w:pPr>
            <w:r>
              <w:rPr>
                <w:rFonts w:ascii="Calibri" w:hAnsi="Calibri"/>
                <w:bCs/>
                <w:iCs/>
                <w:sz w:val="18"/>
                <w:szCs w:val="18"/>
              </w:rPr>
              <w:t>The 2019 pension cost was adversely affected by a number of factors; changes in interest rates, one-off cost</w:t>
            </w:r>
            <w:r w:rsidR="006760BA">
              <w:rPr>
                <w:rFonts w:ascii="Calibri" w:hAnsi="Calibri"/>
                <w:bCs/>
                <w:iCs/>
                <w:sz w:val="18"/>
                <w:szCs w:val="18"/>
              </w:rPr>
              <w:t>s</w:t>
            </w:r>
            <w:r>
              <w:rPr>
                <w:rFonts w:ascii="Calibri" w:hAnsi="Calibri"/>
                <w:bCs/>
                <w:iCs/>
                <w:sz w:val="18"/>
                <w:szCs w:val="18"/>
              </w:rPr>
              <w:t xml:space="preserve"> related to transfer of personnel from defined </w:t>
            </w:r>
            <w:r w:rsidR="003235E2">
              <w:rPr>
                <w:rFonts w:ascii="Calibri" w:hAnsi="Calibri"/>
                <w:bCs/>
                <w:iCs/>
                <w:sz w:val="18"/>
                <w:szCs w:val="18"/>
              </w:rPr>
              <w:t xml:space="preserve">benefit to defined contribution scheme and effects from a new Public Service Pension Act. </w:t>
            </w:r>
          </w:p>
          <w:p w14:paraId="4EF8A1F5" w14:textId="5508E5C1" w:rsidR="005E3610" w:rsidRDefault="005E3610" w:rsidP="00E33CCC">
            <w:pPr>
              <w:rPr>
                <w:rFonts w:ascii="Calibri" w:hAnsi="Calibri"/>
                <w:bCs/>
                <w:iCs/>
                <w:sz w:val="18"/>
                <w:szCs w:val="18"/>
              </w:rPr>
            </w:pPr>
          </w:p>
          <w:p w14:paraId="516301AB" w14:textId="5E92AE39" w:rsidR="005E3610" w:rsidRDefault="005E3610" w:rsidP="00E33CCC">
            <w:pPr>
              <w:rPr>
                <w:rFonts w:ascii="Calibri" w:hAnsi="Calibri"/>
                <w:bCs/>
                <w:iCs/>
                <w:sz w:val="18"/>
                <w:szCs w:val="18"/>
              </w:rPr>
            </w:pPr>
            <w:r>
              <w:rPr>
                <w:rFonts w:ascii="Calibri" w:hAnsi="Calibri"/>
                <w:bCs/>
                <w:iCs/>
                <w:noProof/>
                <w:sz w:val="18"/>
                <w:szCs w:val="18"/>
              </w:rPr>
              <w:drawing>
                <wp:inline distT="0" distB="0" distL="0" distR="0" wp14:anchorId="205E50F8" wp14:editId="60F94CFD">
                  <wp:extent cx="4095750" cy="2279705"/>
                  <wp:effectExtent l="0" t="0" r="0" b="635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9144" cy="2287160"/>
                          </a:xfrm>
                          <a:prstGeom prst="rect">
                            <a:avLst/>
                          </a:prstGeom>
                          <a:noFill/>
                        </pic:spPr>
                      </pic:pic>
                    </a:graphicData>
                  </a:graphic>
                </wp:inline>
              </w:drawing>
            </w:r>
          </w:p>
          <w:p w14:paraId="6A3BBCD1" w14:textId="10C77B5D" w:rsidR="005E3610" w:rsidRDefault="005E3610" w:rsidP="00E33CCC">
            <w:pPr>
              <w:rPr>
                <w:rFonts w:ascii="Calibri" w:hAnsi="Calibri"/>
                <w:bCs/>
                <w:iCs/>
                <w:sz w:val="18"/>
                <w:szCs w:val="18"/>
              </w:rPr>
            </w:pPr>
          </w:p>
          <w:p w14:paraId="4FD465AB" w14:textId="224D2485" w:rsidR="005E3610" w:rsidRDefault="005E3610" w:rsidP="00E33CCC">
            <w:pPr>
              <w:rPr>
                <w:rFonts w:ascii="Calibri" w:hAnsi="Calibri"/>
                <w:bCs/>
                <w:iCs/>
                <w:sz w:val="18"/>
                <w:szCs w:val="18"/>
              </w:rPr>
            </w:pPr>
          </w:p>
          <w:p w14:paraId="047EBC2A" w14:textId="77777777" w:rsidR="005E3610" w:rsidRDefault="005E3610" w:rsidP="00E33CCC">
            <w:pPr>
              <w:rPr>
                <w:rFonts w:ascii="Calibri" w:hAnsi="Calibri"/>
                <w:bCs/>
                <w:iCs/>
                <w:sz w:val="18"/>
                <w:szCs w:val="18"/>
              </w:rPr>
            </w:pPr>
          </w:p>
          <w:p w14:paraId="26197E0B" w14:textId="77777777" w:rsidR="00C24AA1" w:rsidRPr="00735BE8" w:rsidRDefault="00C24AA1" w:rsidP="00E33CCC">
            <w:pPr>
              <w:rPr>
                <w:rFonts w:ascii="Calibri" w:hAnsi="Calibri"/>
                <w:bCs/>
                <w:iCs/>
                <w:sz w:val="18"/>
                <w:szCs w:val="18"/>
              </w:rPr>
            </w:pPr>
          </w:p>
          <w:p w14:paraId="78D9D06D" w14:textId="18A32869" w:rsidR="006377CD" w:rsidRDefault="006377CD" w:rsidP="00E33CCC">
            <w:pPr>
              <w:rPr>
                <w:rFonts w:ascii="Calibri" w:hAnsi="Calibri"/>
                <w:bCs/>
                <w:iCs/>
                <w:color w:val="FF0000"/>
                <w:sz w:val="18"/>
                <w:szCs w:val="18"/>
              </w:rPr>
            </w:pPr>
          </w:p>
          <w:p w14:paraId="15D91566" w14:textId="571DE413" w:rsidR="007235BE" w:rsidRPr="00E33CCC" w:rsidRDefault="007235BE" w:rsidP="00E33CCC">
            <w:pPr>
              <w:rPr>
                <w:rFonts w:ascii="Calibri" w:hAnsi="Calibri"/>
                <w:bCs/>
                <w:iCs/>
                <w:color w:val="FF0000"/>
                <w:sz w:val="18"/>
                <w:szCs w:val="18"/>
              </w:rPr>
            </w:pPr>
          </w:p>
        </w:tc>
      </w:tr>
      <w:tr w:rsidR="00237BC9" w:rsidRPr="009A19BC" w14:paraId="2F25A7F4" w14:textId="77777777" w:rsidTr="00427C81">
        <w:tc>
          <w:tcPr>
            <w:tcW w:w="2122" w:type="dxa"/>
            <w:shd w:val="clear" w:color="auto" w:fill="auto"/>
          </w:tcPr>
          <w:p w14:paraId="35F915CC" w14:textId="77777777" w:rsidR="006377CD" w:rsidRPr="009A19BC" w:rsidRDefault="006377CD" w:rsidP="006377CD">
            <w:pPr>
              <w:pStyle w:val="Default"/>
              <w:jc w:val="both"/>
              <w:rPr>
                <w:bCs/>
                <w:color w:val="auto"/>
                <w:sz w:val="18"/>
                <w:szCs w:val="18"/>
              </w:rPr>
            </w:pPr>
            <w:r w:rsidRPr="009A19BC">
              <w:rPr>
                <w:bCs/>
                <w:color w:val="auto"/>
                <w:sz w:val="18"/>
                <w:szCs w:val="18"/>
              </w:rPr>
              <w:lastRenderedPageBreak/>
              <w:t>1.2 Other operating costs</w:t>
            </w:r>
          </w:p>
        </w:tc>
        <w:tc>
          <w:tcPr>
            <w:tcW w:w="6979" w:type="dxa"/>
            <w:shd w:val="clear" w:color="auto" w:fill="auto"/>
          </w:tcPr>
          <w:p w14:paraId="5D054B46" w14:textId="40C943AF" w:rsidR="006377CD" w:rsidRPr="00E33CCC" w:rsidRDefault="003235E2" w:rsidP="006377CD">
            <w:pPr>
              <w:pStyle w:val="Default"/>
              <w:jc w:val="both"/>
              <w:rPr>
                <w:bCs/>
                <w:iCs/>
                <w:color w:val="00B0F0"/>
                <w:sz w:val="18"/>
                <w:szCs w:val="18"/>
              </w:rPr>
            </w:pPr>
            <w:r w:rsidRPr="003235E2">
              <w:rPr>
                <w:bCs/>
                <w:iCs/>
                <w:color w:val="auto"/>
                <w:sz w:val="18"/>
                <w:szCs w:val="18"/>
              </w:rPr>
              <w:t>Please see</w:t>
            </w:r>
            <w:r>
              <w:rPr>
                <w:bCs/>
                <w:iCs/>
                <w:color w:val="auto"/>
                <w:sz w:val="18"/>
                <w:szCs w:val="18"/>
              </w:rPr>
              <w:t xml:space="preserve"> 1.1., and 1f, 1.1.</w:t>
            </w:r>
          </w:p>
        </w:tc>
      </w:tr>
      <w:tr w:rsidR="00237BC9" w:rsidRPr="009A19BC" w14:paraId="3CE04B1D" w14:textId="77777777" w:rsidTr="00427C81">
        <w:tc>
          <w:tcPr>
            <w:tcW w:w="2122" w:type="dxa"/>
            <w:shd w:val="clear" w:color="auto" w:fill="auto"/>
          </w:tcPr>
          <w:p w14:paraId="52A90837" w14:textId="77777777" w:rsidR="006377CD" w:rsidRPr="009A19BC" w:rsidRDefault="006377CD" w:rsidP="006377CD">
            <w:pPr>
              <w:pStyle w:val="Default"/>
              <w:jc w:val="both"/>
              <w:rPr>
                <w:bCs/>
                <w:color w:val="auto"/>
                <w:sz w:val="18"/>
                <w:szCs w:val="18"/>
              </w:rPr>
            </w:pPr>
            <w:r w:rsidRPr="009A19BC">
              <w:rPr>
                <w:bCs/>
                <w:color w:val="auto"/>
                <w:sz w:val="18"/>
                <w:szCs w:val="18"/>
              </w:rPr>
              <w:t>1.3 Depreciation</w:t>
            </w:r>
          </w:p>
        </w:tc>
        <w:tc>
          <w:tcPr>
            <w:tcW w:w="6979" w:type="dxa"/>
            <w:shd w:val="clear" w:color="auto" w:fill="auto"/>
          </w:tcPr>
          <w:p w14:paraId="408802CD" w14:textId="3AF383C6" w:rsidR="006377CD" w:rsidRPr="00080002" w:rsidRDefault="009B3CAC" w:rsidP="009B47B3">
            <w:pPr>
              <w:pStyle w:val="Default"/>
              <w:jc w:val="both"/>
              <w:rPr>
                <w:bCs/>
                <w:iCs/>
                <w:color w:val="auto"/>
                <w:sz w:val="18"/>
                <w:szCs w:val="18"/>
              </w:rPr>
            </w:pPr>
            <w:r w:rsidRPr="00080002">
              <w:rPr>
                <w:bCs/>
                <w:iCs/>
                <w:color w:val="auto"/>
                <w:sz w:val="18"/>
                <w:szCs w:val="18"/>
              </w:rPr>
              <w:t>Depreciation is increasing due to change of allocation method. The assets are allocated relating to the services they are supporting instead of the cost</w:t>
            </w:r>
            <w:r w:rsidR="007D793A">
              <w:rPr>
                <w:bCs/>
                <w:iCs/>
                <w:color w:val="auto"/>
                <w:sz w:val="18"/>
                <w:szCs w:val="18"/>
              </w:rPr>
              <w:t>-</w:t>
            </w:r>
            <w:proofErr w:type="spellStart"/>
            <w:r w:rsidRPr="00080002">
              <w:rPr>
                <w:bCs/>
                <w:iCs/>
                <w:color w:val="auto"/>
                <w:sz w:val="18"/>
                <w:szCs w:val="18"/>
              </w:rPr>
              <w:t>center</w:t>
            </w:r>
            <w:proofErr w:type="spellEnd"/>
            <w:r w:rsidRPr="00080002">
              <w:rPr>
                <w:bCs/>
                <w:iCs/>
                <w:color w:val="auto"/>
                <w:sz w:val="18"/>
                <w:szCs w:val="18"/>
              </w:rPr>
              <w:t xml:space="preserve"> used </w:t>
            </w:r>
            <w:r w:rsidR="00CA7B61">
              <w:rPr>
                <w:bCs/>
                <w:iCs/>
                <w:color w:val="auto"/>
                <w:sz w:val="18"/>
                <w:szCs w:val="18"/>
              </w:rPr>
              <w:t>in the ANSPs</w:t>
            </w:r>
            <w:r w:rsidRPr="00080002">
              <w:rPr>
                <w:bCs/>
                <w:iCs/>
                <w:color w:val="auto"/>
                <w:sz w:val="18"/>
                <w:szCs w:val="18"/>
              </w:rPr>
              <w:t xml:space="preserve"> asset base.</w:t>
            </w:r>
          </w:p>
        </w:tc>
      </w:tr>
      <w:tr w:rsidR="00237BC9" w:rsidRPr="009A19BC" w14:paraId="5A19561B" w14:textId="77777777" w:rsidTr="00427C81">
        <w:tc>
          <w:tcPr>
            <w:tcW w:w="2122" w:type="dxa"/>
            <w:shd w:val="clear" w:color="auto" w:fill="auto"/>
          </w:tcPr>
          <w:p w14:paraId="03AE6CCF" w14:textId="77777777" w:rsidR="009B47B3" w:rsidRPr="009A19BC" w:rsidRDefault="009B47B3" w:rsidP="009B47B3">
            <w:pPr>
              <w:pStyle w:val="Default"/>
              <w:jc w:val="both"/>
              <w:rPr>
                <w:bCs/>
                <w:color w:val="auto"/>
                <w:sz w:val="18"/>
                <w:szCs w:val="18"/>
              </w:rPr>
            </w:pPr>
            <w:r w:rsidRPr="009A19BC">
              <w:rPr>
                <w:bCs/>
                <w:color w:val="auto"/>
                <w:sz w:val="18"/>
                <w:szCs w:val="18"/>
              </w:rPr>
              <w:t>1.4 Cost of capital</w:t>
            </w:r>
          </w:p>
        </w:tc>
        <w:tc>
          <w:tcPr>
            <w:tcW w:w="6979" w:type="dxa"/>
            <w:shd w:val="clear" w:color="auto" w:fill="auto"/>
            <w:vAlign w:val="center"/>
          </w:tcPr>
          <w:p w14:paraId="335835EB" w14:textId="196B718C" w:rsidR="009B47B3" w:rsidRPr="00080002" w:rsidRDefault="007C04E7" w:rsidP="009B47B3">
            <w:pPr>
              <w:pStyle w:val="Default"/>
              <w:jc w:val="both"/>
              <w:rPr>
                <w:bCs/>
                <w:iCs/>
                <w:color w:val="auto"/>
                <w:sz w:val="18"/>
                <w:szCs w:val="18"/>
              </w:rPr>
            </w:pPr>
            <w:r w:rsidRPr="00080002">
              <w:rPr>
                <w:rFonts w:cs="Arial"/>
                <w:color w:val="auto"/>
                <w:sz w:val="18"/>
                <w:szCs w:val="18"/>
                <w:lang w:eastAsia="en-GB"/>
              </w:rPr>
              <w:t xml:space="preserve">Cost of capital is calculated based on a </w:t>
            </w:r>
            <w:r w:rsidR="007D793A">
              <w:rPr>
                <w:rFonts w:cs="Arial"/>
                <w:color w:val="auto"/>
                <w:sz w:val="18"/>
                <w:szCs w:val="18"/>
                <w:lang w:eastAsia="en-GB"/>
              </w:rPr>
              <w:t xml:space="preserve">WACC </w:t>
            </w:r>
            <w:r w:rsidRPr="00080002">
              <w:rPr>
                <w:rFonts w:cs="Arial"/>
                <w:color w:val="auto"/>
                <w:sz w:val="18"/>
                <w:szCs w:val="18"/>
                <w:lang w:eastAsia="en-GB"/>
              </w:rPr>
              <w:t>rate of 5,85%.</w:t>
            </w:r>
          </w:p>
        </w:tc>
      </w:tr>
      <w:tr w:rsidR="00237BC9" w:rsidRPr="009A19BC" w14:paraId="297FE5F9" w14:textId="77777777" w:rsidTr="00427C81">
        <w:tc>
          <w:tcPr>
            <w:tcW w:w="2122" w:type="dxa"/>
            <w:shd w:val="clear" w:color="auto" w:fill="auto"/>
          </w:tcPr>
          <w:p w14:paraId="19092C91" w14:textId="77777777" w:rsidR="009B47B3" w:rsidRPr="009A19BC" w:rsidRDefault="009B47B3" w:rsidP="009B47B3">
            <w:pPr>
              <w:pStyle w:val="Default"/>
              <w:jc w:val="both"/>
              <w:rPr>
                <w:bCs/>
                <w:color w:val="auto"/>
                <w:sz w:val="18"/>
                <w:szCs w:val="18"/>
              </w:rPr>
            </w:pPr>
            <w:r w:rsidRPr="009A19BC">
              <w:rPr>
                <w:bCs/>
                <w:color w:val="auto"/>
                <w:sz w:val="18"/>
                <w:szCs w:val="18"/>
              </w:rPr>
              <w:t>1.5 Exceptional items</w:t>
            </w:r>
          </w:p>
        </w:tc>
        <w:tc>
          <w:tcPr>
            <w:tcW w:w="6979" w:type="dxa"/>
            <w:shd w:val="clear" w:color="auto" w:fill="auto"/>
          </w:tcPr>
          <w:p w14:paraId="56E85133" w14:textId="7944F114" w:rsidR="009B47B3" w:rsidRPr="009A19BC" w:rsidRDefault="00004DE7" w:rsidP="009B47B3">
            <w:pPr>
              <w:pStyle w:val="Default"/>
              <w:jc w:val="both"/>
              <w:rPr>
                <w:bCs/>
                <w:iCs/>
                <w:color w:val="auto"/>
                <w:sz w:val="18"/>
                <w:szCs w:val="18"/>
              </w:rPr>
            </w:pPr>
            <w:r>
              <w:rPr>
                <w:bCs/>
                <w:iCs/>
                <w:color w:val="auto"/>
                <w:sz w:val="18"/>
                <w:szCs w:val="18"/>
                <w:lang w:val="en-US"/>
              </w:rPr>
              <w:t>N/A</w:t>
            </w:r>
          </w:p>
        </w:tc>
      </w:tr>
      <w:bookmarkEnd w:id="2"/>
    </w:tbl>
    <w:p w14:paraId="2AA65022" w14:textId="0B918796" w:rsidR="006377CD" w:rsidRDefault="006377CD" w:rsidP="006377CD">
      <w:pPr>
        <w:pStyle w:val="Default"/>
        <w:jc w:val="both"/>
        <w:rPr>
          <w:rFonts w:ascii="Arial" w:hAnsi="Arial" w:cs="Arial"/>
          <w:color w:val="17365D"/>
          <w:sz w:val="20"/>
          <w:szCs w:val="20"/>
        </w:rPr>
      </w:pPr>
    </w:p>
    <w:p w14:paraId="60AFE986" w14:textId="77777777" w:rsidR="00A85BB1" w:rsidRDefault="00A85BB1" w:rsidP="006377CD">
      <w:pPr>
        <w:pStyle w:val="Default"/>
        <w:jc w:val="both"/>
        <w:rPr>
          <w:rFonts w:ascii="Arial" w:hAnsi="Arial" w:cs="Arial"/>
          <w:color w:val="17365D"/>
          <w:sz w:val="20"/>
          <w:szCs w:val="20"/>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00"/>
      </w:tblGrid>
      <w:tr w:rsidR="00A85BB1" w:rsidRPr="006C2F02" w14:paraId="69569F4D" w14:textId="77777777" w:rsidTr="00BC0FFA">
        <w:trPr>
          <w:trHeight w:val="210"/>
        </w:trPr>
        <w:tc>
          <w:tcPr>
            <w:tcW w:w="9322" w:type="dxa"/>
            <w:gridSpan w:val="2"/>
            <w:shd w:val="clear" w:color="auto" w:fill="auto"/>
          </w:tcPr>
          <w:p w14:paraId="7B0AD33C" w14:textId="77777777" w:rsidR="00A85BB1" w:rsidRPr="006C2F02" w:rsidRDefault="00A85BB1" w:rsidP="00BC0FFA">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2020 vs. 2019</w:t>
            </w:r>
          </w:p>
        </w:tc>
      </w:tr>
      <w:tr w:rsidR="00A85BB1" w:rsidRPr="00781B85" w14:paraId="60C88A0D" w14:textId="77777777" w:rsidTr="00BC0FFA">
        <w:trPr>
          <w:trHeight w:val="239"/>
        </w:trPr>
        <w:tc>
          <w:tcPr>
            <w:tcW w:w="9322" w:type="dxa"/>
            <w:gridSpan w:val="2"/>
            <w:shd w:val="clear" w:color="auto" w:fill="auto"/>
          </w:tcPr>
          <w:p w14:paraId="3B2A4C93" w14:textId="09C47E06" w:rsidR="00A85BB1" w:rsidRPr="00781B85" w:rsidRDefault="00A85BB1" w:rsidP="00BC0FFA">
            <w:pPr>
              <w:pStyle w:val="Default"/>
              <w:rPr>
                <w:b/>
                <w:iCs/>
                <w:color w:val="auto"/>
                <w:sz w:val="18"/>
                <w:szCs w:val="18"/>
              </w:rPr>
            </w:pPr>
            <w:r w:rsidRPr="00781B85">
              <w:rPr>
                <w:rFonts w:ascii="Calibri,Bold" w:eastAsiaTheme="minorHAnsi" w:hAnsi="Calibri,Bold" w:cs="Calibri,Bold"/>
                <w:b/>
                <w:bCs/>
                <w:sz w:val="18"/>
                <w:szCs w:val="18"/>
              </w:rPr>
              <w:t xml:space="preserve">ANSP: </w:t>
            </w:r>
            <w:r w:rsidRPr="00A85BB1">
              <w:rPr>
                <w:rFonts w:ascii="Calibri,Bold" w:eastAsiaTheme="minorHAnsi" w:hAnsi="Calibri,Bold" w:cs="Calibri,Bold"/>
                <w:b/>
                <w:bCs/>
                <w:color w:val="0070C1"/>
                <w:sz w:val="18"/>
                <w:szCs w:val="18"/>
              </w:rPr>
              <w:t>MET</w:t>
            </w:r>
          </w:p>
        </w:tc>
      </w:tr>
      <w:tr w:rsidR="00A85BB1" w:rsidRPr="009A19BC" w14:paraId="3203B07C" w14:textId="77777777" w:rsidTr="00BC0FFA">
        <w:tc>
          <w:tcPr>
            <w:tcW w:w="2122" w:type="dxa"/>
            <w:shd w:val="clear" w:color="auto" w:fill="auto"/>
          </w:tcPr>
          <w:p w14:paraId="08650F16" w14:textId="77777777" w:rsidR="00A85BB1" w:rsidRPr="009A19BC" w:rsidRDefault="00A85BB1" w:rsidP="00BC0FFA">
            <w:pPr>
              <w:pStyle w:val="Default"/>
              <w:jc w:val="both"/>
              <w:rPr>
                <w:bCs/>
                <w:color w:val="auto"/>
                <w:sz w:val="18"/>
                <w:szCs w:val="18"/>
              </w:rPr>
            </w:pPr>
            <w:r w:rsidRPr="009A19BC">
              <w:rPr>
                <w:bCs/>
                <w:color w:val="auto"/>
                <w:sz w:val="18"/>
                <w:szCs w:val="18"/>
              </w:rPr>
              <w:t xml:space="preserve">1.1 </w:t>
            </w:r>
            <w:r w:rsidRPr="00781B85">
              <w:rPr>
                <w:bCs/>
                <w:color w:val="auto"/>
                <w:sz w:val="18"/>
                <w:szCs w:val="18"/>
              </w:rPr>
              <w:t>Staff c</w:t>
            </w:r>
            <w:r w:rsidRPr="009A19BC">
              <w:rPr>
                <w:bCs/>
                <w:color w:val="auto"/>
                <w:sz w:val="18"/>
                <w:szCs w:val="18"/>
              </w:rPr>
              <w:t>osts</w:t>
            </w:r>
          </w:p>
        </w:tc>
        <w:tc>
          <w:tcPr>
            <w:tcW w:w="7200" w:type="dxa"/>
            <w:shd w:val="clear" w:color="auto" w:fill="auto"/>
          </w:tcPr>
          <w:p w14:paraId="280063DC" w14:textId="51109729" w:rsidR="00A85BB1" w:rsidRPr="009A19BC" w:rsidRDefault="00DC1B11" w:rsidP="00BC0FFA">
            <w:pPr>
              <w:pStyle w:val="Default"/>
              <w:jc w:val="both"/>
              <w:rPr>
                <w:bCs/>
                <w:iCs/>
                <w:color w:val="auto"/>
                <w:sz w:val="18"/>
                <w:szCs w:val="18"/>
              </w:rPr>
            </w:pPr>
            <w:r>
              <w:rPr>
                <w:bCs/>
                <w:iCs/>
                <w:color w:val="auto"/>
                <w:sz w:val="18"/>
                <w:szCs w:val="18"/>
                <w:lang w:val="en-US"/>
              </w:rPr>
              <w:t>N/A</w:t>
            </w:r>
          </w:p>
        </w:tc>
      </w:tr>
      <w:tr w:rsidR="00A85BB1" w:rsidRPr="009A19BC" w14:paraId="353BFDB7" w14:textId="77777777" w:rsidTr="00BC0FFA">
        <w:tc>
          <w:tcPr>
            <w:tcW w:w="2122" w:type="dxa"/>
            <w:shd w:val="clear" w:color="auto" w:fill="auto"/>
          </w:tcPr>
          <w:p w14:paraId="52965C6A" w14:textId="77777777" w:rsidR="00A85BB1" w:rsidRPr="009A19BC" w:rsidRDefault="00A85BB1" w:rsidP="00BC0FFA">
            <w:pPr>
              <w:pStyle w:val="Default"/>
              <w:jc w:val="both"/>
              <w:rPr>
                <w:bCs/>
                <w:color w:val="auto"/>
                <w:sz w:val="18"/>
                <w:szCs w:val="18"/>
              </w:rPr>
            </w:pPr>
            <w:r w:rsidRPr="009A19BC">
              <w:rPr>
                <w:bCs/>
                <w:color w:val="auto"/>
                <w:sz w:val="18"/>
                <w:szCs w:val="18"/>
              </w:rPr>
              <w:t>1.2 Other operating costs</w:t>
            </w:r>
          </w:p>
        </w:tc>
        <w:tc>
          <w:tcPr>
            <w:tcW w:w="7200" w:type="dxa"/>
            <w:shd w:val="clear" w:color="auto" w:fill="auto"/>
          </w:tcPr>
          <w:p w14:paraId="6D642067" w14:textId="0EFD1BD5" w:rsidR="00A85BB1" w:rsidRPr="00A534C5" w:rsidRDefault="00A534C5" w:rsidP="00BC0FFA">
            <w:pPr>
              <w:pStyle w:val="Default"/>
              <w:jc w:val="both"/>
              <w:rPr>
                <w:bCs/>
                <w:iCs/>
                <w:color w:val="00B0F0"/>
                <w:sz w:val="18"/>
                <w:szCs w:val="18"/>
              </w:rPr>
            </w:pPr>
            <w:r w:rsidRPr="00080002">
              <w:rPr>
                <w:bCs/>
                <w:iCs/>
                <w:color w:val="auto"/>
                <w:sz w:val="18"/>
                <w:szCs w:val="18"/>
              </w:rPr>
              <w:t xml:space="preserve">MET cost are based on the met products for </w:t>
            </w:r>
            <w:proofErr w:type="spellStart"/>
            <w:r w:rsidRPr="00080002">
              <w:rPr>
                <w:bCs/>
                <w:iCs/>
                <w:color w:val="auto"/>
                <w:sz w:val="18"/>
                <w:szCs w:val="18"/>
              </w:rPr>
              <w:t>en</w:t>
            </w:r>
            <w:proofErr w:type="spellEnd"/>
            <w:r w:rsidR="0065015E" w:rsidRPr="00080002">
              <w:rPr>
                <w:bCs/>
                <w:iCs/>
                <w:color w:val="auto"/>
                <w:sz w:val="18"/>
                <w:szCs w:val="18"/>
              </w:rPr>
              <w:t>-</w:t>
            </w:r>
            <w:r w:rsidRPr="00080002">
              <w:rPr>
                <w:bCs/>
                <w:iCs/>
                <w:color w:val="auto"/>
                <w:sz w:val="18"/>
                <w:szCs w:val="18"/>
              </w:rPr>
              <w:t>route.</w:t>
            </w:r>
          </w:p>
        </w:tc>
      </w:tr>
      <w:tr w:rsidR="00A85BB1" w:rsidRPr="009A19BC" w14:paraId="0C5BE13F" w14:textId="77777777" w:rsidTr="00BC0FFA">
        <w:tc>
          <w:tcPr>
            <w:tcW w:w="2122" w:type="dxa"/>
            <w:shd w:val="clear" w:color="auto" w:fill="auto"/>
          </w:tcPr>
          <w:p w14:paraId="59811757" w14:textId="77777777" w:rsidR="00A85BB1" w:rsidRPr="009A19BC" w:rsidRDefault="00A85BB1" w:rsidP="00BC0FFA">
            <w:pPr>
              <w:pStyle w:val="Default"/>
              <w:jc w:val="both"/>
              <w:rPr>
                <w:bCs/>
                <w:color w:val="auto"/>
                <w:sz w:val="18"/>
                <w:szCs w:val="18"/>
              </w:rPr>
            </w:pPr>
            <w:r w:rsidRPr="009A19BC">
              <w:rPr>
                <w:bCs/>
                <w:color w:val="auto"/>
                <w:sz w:val="18"/>
                <w:szCs w:val="18"/>
              </w:rPr>
              <w:t>1.3 Depreciation</w:t>
            </w:r>
          </w:p>
        </w:tc>
        <w:tc>
          <w:tcPr>
            <w:tcW w:w="7200" w:type="dxa"/>
            <w:shd w:val="clear" w:color="auto" w:fill="auto"/>
          </w:tcPr>
          <w:p w14:paraId="486957D8" w14:textId="72ADDF8D" w:rsidR="00A85BB1" w:rsidRPr="009A19BC" w:rsidRDefault="00DC1B11" w:rsidP="00BC0FFA">
            <w:pPr>
              <w:pStyle w:val="Default"/>
              <w:jc w:val="both"/>
              <w:rPr>
                <w:bCs/>
                <w:iCs/>
                <w:color w:val="auto"/>
                <w:sz w:val="18"/>
                <w:szCs w:val="18"/>
              </w:rPr>
            </w:pPr>
            <w:r>
              <w:rPr>
                <w:bCs/>
                <w:iCs/>
                <w:color w:val="auto"/>
                <w:sz w:val="18"/>
                <w:szCs w:val="18"/>
                <w:lang w:val="en-US"/>
              </w:rPr>
              <w:t>N/A</w:t>
            </w:r>
          </w:p>
        </w:tc>
      </w:tr>
      <w:tr w:rsidR="00A85BB1" w:rsidRPr="009A19BC" w14:paraId="149D59DC" w14:textId="77777777" w:rsidTr="00BC0FFA">
        <w:tc>
          <w:tcPr>
            <w:tcW w:w="2122" w:type="dxa"/>
            <w:shd w:val="clear" w:color="auto" w:fill="auto"/>
          </w:tcPr>
          <w:p w14:paraId="3BDCF751" w14:textId="77777777" w:rsidR="00A85BB1" w:rsidRPr="009A19BC" w:rsidRDefault="00A85BB1" w:rsidP="00BC0FFA">
            <w:pPr>
              <w:pStyle w:val="Default"/>
              <w:jc w:val="both"/>
              <w:rPr>
                <w:bCs/>
                <w:color w:val="auto"/>
                <w:sz w:val="18"/>
                <w:szCs w:val="18"/>
              </w:rPr>
            </w:pPr>
            <w:r w:rsidRPr="009A19BC">
              <w:rPr>
                <w:bCs/>
                <w:color w:val="auto"/>
                <w:sz w:val="18"/>
                <w:szCs w:val="18"/>
              </w:rPr>
              <w:t>1.4 Cost of capital</w:t>
            </w:r>
          </w:p>
        </w:tc>
        <w:tc>
          <w:tcPr>
            <w:tcW w:w="7200" w:type="dxa"/>
            <w:shd w:val="clear" w:color="auto" w:fill="auto"/>
          </w:tcPr>
          <w:p w14:paraId="2708B891" w14:textId="2D08A0D9" w:rsidR="00A85BB1" w:rsidRPr="009A19BC" w:rsidRDefault="00DC1B11" w:rsidP="00BC0FFA">
            <w:pPr>
              <w:pStyle w:val="Default"/>
              <w:jc w:val="both"/>
              <w:rPr>
                <w:bCs/>
                <w:iCs/>
                <w:color w:val="auto"/>
                <w:sz w:val="18"/>
                <w:szCs w:val="18"/>
              </w:rPr>
            </w:pPr>
            <w:r>
              <w:rPr>
                <w:bCs/>
                <w:iCs/>
                <w:color w:val="auto"/>
                <w:sz w:val="18"/>
                <w:szCs w:val="18"/>
                <w:lang w:val="en-US"/>
              </w:rPr>
              <w:t>N/A</w:t>
            </w:r>
          </w:p>
        </w:tc>
      </w:tr>
      <w:tr w:rsidR="00A85BB1" w:rsidRPr="009A19BC" w14:paraId="259977B1" w14:textId="77777777" w:rsidTr="00BC0FFA">
        <w:tc>
          <w:tcPr>
            <w:tcW w:w="2122" w:type="dxa"/>
            <w:shd w:val="clear" w:color="auto" w:fill="auto"/>
          </w:tcPr>
          <w:p w14:paraId="738D15D3" w14:textId="77777777" w:rsidR="00A85BB1" w:rsidRPr="009A19BC" w:rsidRDefault="00A85BB1" w:rsidP="00BC0FFA">
            <w:pPr>
              <w:pStyle w:val="Default"/>
              <w:jc w:val="both"/>
              <w:rPr>
                <w:bCs/>
                <w:color w:val="auto"/>
                <w:sz w:val="18"/>
                <w:szCs w:val="18"/>
              </w:rPr>
            </w:pPr>
            <w:r w:rsidRPr="009A19BC">
              <w:rPr>
                <w:bCs/>
                <w:color w:val="auto"/>
                <w:sz w:val="18"/>
                <w:szCs w:val="18"/>
              </w:rPr>
              <w:t>1.5 Exceptional items</w:t>
            </w:r>
          </w:p>
        </w:tc>
        <w:tc>
          <w:tcPr>
            <w:tcW w:w="7200" w:type="dxa"/>
            <w:shd w:val="clear" w:color="auto" w:fill="auto"/>
          </w:tcPr>
          <w:p w14:paraId="068B35BE" w14:textId="22157C1B" w:rsidR="00A85BB1" w:rsidRPr="009A19BC" w:rsidRDefault="00DC1B11" w:rsidP="00BC0FFA">
            <w:pPr>
              <w:pStyle w:val="Default"/>
              <w:jc w:val="both"/>
              <w:rPr>
                <w:bCs/>
                <w:iCs/>
                <w:color w:val="auto"/>
                <w:sz w:val="18"/>
                <w:szCs w:val="18"/>
              </w:rPr>
            </w:pPr>
            <w:r>
              <w:rPr>
                <w:bCs/>
                <w:iCs/>
                <w:color w:val="auto"/>
                <w:sz w:val="18"/>
                <w:szCs w:val="18"/>
                <w:lang w:val="en-US"/>
              </w:rPr>
              <w:t>N/A</w:t>
            </w:r>
            <w:r w:rsidRPr="002778DF">
              <w:rPr>
                <w:bCs/>
                <w:iCs/>
                <w:color w:val="auto"/>
                <w:sz w:val="18"/>
                <w:szCs w:val="18"/>
                <w:highlight w:val="yellow"/>
                <w:lang w:val="en-US"/>
              </w:rPr>
              <w:t xml:space="preserve"> </w:t>
            </w:r>
          </w:p>
        </w:tc>
      </w:tr>
    </w:tbl>
    <w:p w14:paraId="13224EA8" w14:textId="77777777" w:rsidR="00A85BB1" w:rsidRDefault="00A85BB1" w:rsidP="006377CD">
      <w:pPr>
        <w:pStyle w:val="Default"/>
        <w:jc w:val="both"/>
        <w:rPr>
          <w:rFonts w:ascii="Arial" w:hAnsi="Arial" w:cs="Arial"/>
          <w:color w:val="17365D"/>
          <w:sz w:val="20"/>
          <w:szCs w:val="20"/>
        </w:rPr>
      </w:pPr>
    </w:p>
    <w:p w14:paraId="495CF78D" w14:textId="77777777" w:rsidR="006377CD" w:rsidRDefault="006377CD" w:rsidP="006377CD">
      <w:pPr>
        <w:pStyle w:val="Default"/>
        <w:jc w:val="both"/>
        <w:rPr>
          <w:rFonts w:ascii="Arial" w:hAnsi="Arial" w:cs="Arial"/>
          <w:color w:val="17365D"/>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21"/>
      </w:tblGrid>
      <w:tr w:rsidR="00FA09E9" w:rsidRPr="006C2F02" w14:paraId="5F06840D" w14:textId="77777777" w:rsidTr="002C4F49">
        <w:trPr>
          <w:trHeight w:val="210"/>
        </w:trPr>
        <w:tc>
          <w:tcPr>
            <w:tcW w:w="9243" w:type="dxa"/>
            <w:gridSpan w:val="2"/>
            <w:shd w:val="clear" w:color="auto" w:fill="auto"/>
          </w:tcPr>
          <w:p w14:paraId="7E2B5270" w14:textId="3AC5D646" w:rsidR="00FA09E9" w:rsidRPr="006C2F02" w:rsidRDefault="00FA09E9" w:rsidP="00FA09E9">
            <w:pPr>
              <w:pStyle w:val="Default"/>
              <w:jc w:val="center"/>
              <w:rPr>
                <w:b/>
                <w:color w:val="auto"/>
                <w:sz w:val="18"/>
                <w:szCs w:val="18"/>
              </w:rPr>
            </w:pPr>
            <w:r w:rsidRPr="006C2F02">
              <w:rPr>
                <w:b/>
                <w:color w:val="auto"/>
                <w:sz w:val="18"/>
                <w:szCs w:val="18"/>
              </w:rPr>
              <w:t>RP</w:t>
            </w:r>
            <w:r>
              <w:rPr>
                <w:b/>
                <w:color w:val="auto"/>
                <w:sz w:val="18"/>
                <w:szCs w:val="18"/>
              </w:rPr>
              <w:t>3 Monitoring</w:t>
            </w:r>
            <w:r w:rsidRPr="006C2F02">
              <w:rPr>
                <w:b/>
                <w:color w:val="auto"/>
                <w:sz w:val="18"/>
                <w:szCs w:val="18"/>
              </w:rPr>
              <w:t xml:space="preserve"> – </w:t>
            </w:r>
            <w:r>
              <w:rPr>
                <w:b/>
                <w:color w:val="auto"/>
                <w:sz w:val="18"/>
                <w:szCs w:val="18"/>
              </w:rPr>
              <w:t>Year 2020 vs. 2019</w:t>
            </w:r>
          </w:p>
        </w:tc>
      </w:tr>
      <w:tr w:rsidR="00FA09E9" w:rsidRPr="006C2F02" w14:paraId="0E192F6A" w14:textId="77777777" w:rsidTr="002C4F49">
        <w:trPr>
          <w:trHeight w:val="239"/>
        </w:trPr>
        <w:tc>
          <w:tcPr>
            <w:tcW w:w="9243" w:type="dxa"/>
            <w:gridSpan w:val="2"/>
            <w:shd w:val="clear" w:color="auto" w:fill="auto"/>
          </w:tcPr>
          <w:p w14:paraId="1804E02F" w14:textId="54E40C64" w:rsidR="00FA09E9" w:rsidRPr="006377CD" w:rsidRDefault="00FA09E9" w:rsidP="00BC0FFA">
            <w:pPr>
              <w:pStyle w:val="Default"/>
              <w:rPr>
                <w:b/>
                <w:iCs/>
                <w:color w:val="auto"/>
                <w:sz w:val="18"/>
                <w:szCs w:val="18"/>
              </w:rPr>
            </w:pPr>
            <w:r w:rsidRPr="006377CD">
              <w:rPr>
                <w:b/>
                <w:iCs/>
                <w:color w:val="auto"/>
                <w:sz w:val="18"/>
                <w:szCs w:val="18"/>
              </w:rPr>
              <w:t>STATE/NSA:</w:t>
            </w:r>
            <w:r w:rsidRPr="006377CD">
              <w:rPr>
                <w:b/>
                <w:color w:val="auto"/>
                <w:sz w:val="18"/>
                <w:szCs w:val="18"/>
              </w:rPr>
              <w:t xml:space="preserve">  </w:t>
            </w:r>
            <w:proofErr w:type="spellStart"/>
            <w:r w:rsidR="00A85BB1">
              <w:rPr>
                <w:rFonts w:ascii="Calibri,Bold" w:eastAsiaTheme="minorHAnsi" w:hAnsi="Calibri,Bold" w:cs="Calibri,Bold"/>
                <w:b/>
                <w:bCs/>
                <w:color w:val="0070C1"/>
                <w:sz w:val="18"/>
                <w:szCs w:val="18"/>
              </w:rPr>
              <w:t>Avinor</w:t>
            </w:r>
            <w:proofErr w:type="spellEnd"/>
            <w:r w:rsidR="00A85BB1">
              <w:rPr>
                <w:rFonts w:ascii="Calibri,Bold" w:eastAsiaTheme="minorHAnsi" w:hAnsi="Calibri,Bold" w:cs="Calibri,Bold"/>
                <w:b/>
                <w:bCs/>
                <w:color w:val="0070C1"/>
                <w:sz w:val="18"/>
                <w:szCs w:val="18"/>
              </w:rPr>
              <w:t xml:space="preserve"> ANS</w:t>
            </w:r>
          </w:p>
        </w:tc>
      </w:tr>
      <w:tr w:rsidR="00937E52" w:rsidRPr="009A19BC" w14:paraId="61A404A6" w14:textId="77777777" w:rsidTr="002C4F49">
        <w:tc>
          <w:tcPr>
            <w:tcW w:w="2122" w:type="dxa"/>
            <w:shd w:val="clear" w:color="auto" w:fill="auto"/>
          </w:tcPr>
          <w:p w14:paraId="773C9BCB" w14:textId="77777777" w:rsidR="00937E52" w:rsidRPr="009A19BC" w:rsidRDefault="00937E52" w:rsidP="00937E52">
            <w:pPr>
              <w:pStyle w:val="Default"/>
              <w:jc w:val="both"/>
              <w:rPr>
                <w:bCs/>
                <w:color w:val="auto"/>
                <w:sz w:val="18"/>
                <w:szCs w:val="18"/>
              </w:rPr>
            </w:pPr>
            <w:r w:rsidRPr="009A19BC">
              <w:rPr>
                <w:bCs/>
                <w:color w:val="auto"/>
                <w:sz w:val="18"/>
                <w:szCs w:val="18"/>
              </w:rPr>
              <w:t>1.1 Staff costs</w:t>
            </w:r>
          </w:p>
        </w:tc>
        <w:tc>
          <w:tcPr>
            <w:tcW w:w="7121" w:type="dxa"/>
            <w:shd w:val="clear" w:color="auto" w:fill="auto"/>
          </w:tcPr>
          <w:p w14:paraId="6CD27A20" w14:textId="129502CE" w:rsidR="00937E52" w:rsidRPr="009A19BC" w:rsidRDefault="00DC1B11" w:rsidP="00937E52">
            <w:pPr>
              <w:pStyle w:val="Default"/>
              <w:jc w:val="both"/>
              <w:rPr>
                <w:bCs/>
                <w:iCs/>
                <w:color w:val="auto"/>
                <w:sz w:val="18"/>
                <w:szCs w:val="18"/>
              </w:rPr>
            </w:pPr>
            <w:r>
              <w:rPr>
                <w:bCs/>
                <w:iCs/>
                <w:color w:val="auto"/>
                <w:sz w:val="18"/>
                <w:szCs w:val="18"/>
                <w:lang w:val="en-US"/>
              </w:rPr>
              <w:t>N/A</w:t>
            </w:r>
          </w:p>
        </w:tc>
      </w:tr>
      <w:tr w:rsidR="009B47B3" w:rsidRPr="009A19BC" w14:paraId="340858BD" w14:textId="77777777" w:rsidTr="002C4F49">
        <w:tc>
          <w:tcPr>
            <w:tcW w:w="2122" w:type="dxa"/>
            <w:shd w:val="clear" w:color="auto" w:fill="auto"/>
          </w:tcPr>
          <w:p w14:paraId="6C534B37" w14:textId="77777777" w:rsidR="009B47B3" w:rsidRPr="009A19BC" w:rsidRDefault="009B47B3" w:rsidP="009B47B3">
            <w:pPr>
              <w:pStyle w:val="Default"/>
              <w:jc w:val="both"/>
              <w:rPr>
                <w:bCs/>
                <w:color w:val="auto"/>
                <w:sz w:val="18"/>
                <w:szCs w:val="18"/>
              </w:rPr>
            </w:pPr>
            <w:r w:rsidRPr="009A19BC">
              <w:rPr>
                <w:bCs/>
                <w:color w:val="auto"/>
                <w:sz w:val="18"/>
                <w:szCs w:val="18"/>
              </w:rPr>
              <w:t>1.2 Other operating costs</w:t>
            </w:r>
          </w:p>
        </w:tc>
        <w:tc>
          <w:tcPr>
            <w:tcW w:w="7121" w:type="dxa"/>
            <w:shd w:val="clear" w:color="auto" w:fill="auto"/>
            <w:vAlign w:val="center"/>
          </w:tcPr>
          <w:p w14:paraId="158896A8" w14:textId="556616D1" w:rsidR="009B47B3" w:rsidRPr="009B47B3" w:rsidRDefault="009B47B3" w:rsidP="009B47B3">
            <w:pPr>
              <w:pStyle w:val="Default"/>
              <w:jc w:val="both"/>
              <w:rPr>
                <w:bCs/>
                <w:iCs/>
                <w:color w:val="FF0000"/>
                <w:sz w:val="18"/>
                <w:szCs w:val="18"/>
              </w:rPr>
            </w:pPr>
            <w:proofErr w:type="spellStart"/>
            <w:r w:rsidRPr="000D30D7">
              <w:rPr>
                <w:bCs/>
                <w:iCs/>
                <w:color w:val="auto"/>
                <w:sz w:val="18"/>
                <w:szCs w:val="18"/>
              </w:rPr>
              <w:t>Eurocontrol</w:t>
            </w:r>
            <w:proofErr w:type="spellEnd"/>
            <w:r w:rsidRPr="000D30D7">
              <w:rPr>
                <w:bCs/>
                <w:iCs/>
                <w:color w:val="auto"/>
                <w:sz w:val="18"/>
                <w:szCs w:val="18"/>
              </w:rPr>
              <w:t xml:space="preserve"> cost</w:t>
            </w:r>
            <w:r w:rsidR="007D793A">
              <w:rPr>
                <w:bCs/>
                <w:iCs/>
                <w:color w:val="auto"/>
                <w:sz w:val="18"/>
                <w:szCs w:val="18"/>
              </w:rPr>
              <w:t>s</w:t>
            </w:r>
            <w:r w:rsidRPr="000D30D7">
              <w:rPr>
                <w:bCs/>
                <w:iCs/>
                <w:color w:val="auto"/>
                <w:sz w:val="18"/>
                <w:szCs w:val="18"/>
              </w:rPr>
              <w:t xml:space="preserve"> </w:t>
            </w:r>
            <w:r w:rsidR="007D793A">
              <w:rPr>
                <w:bCs/>
                <w:iCs/>
                <w:color w:val="auto"/>
                <w:sz w:val="18"/>
                <w:szCs w:val="18"/>
              </w:rPr>
              <w:t xml:space="preserve">in 2020A </w:t>
            </w:r>
            <w:r w:rsidRPr="000D30D7">
              <w:rPr>
                <w:bCs/>
                <w:iCs/>
                <w:color w:val="auto"/>
                <w:sz w:val="18"/>
                <w:szCs w:val="18"/>
              </w:rPr>
              <w:t xml:space="preserve">is </w:t>
            </w:r>
            <w:r w:rsidR="007D793A" w:rsidRPr="000D30D7">
              <w:rPr>
                <w:bCs/>
                <w:iCs/>
                <w:color w:val="auto"/>
                <w:sz w:val="18"/>
                <w:szCs w:val="18"/>
              </w:rPr>
              <w:t xml:space="preserve">7,305 MNOK </w:t>
            </w:r>
            <w:r w:rsidRPr="000D30D7">
              <w:rPr>
                <w:bCs/>
                <w:iCs/>
                <w:color w:val="auto"/>
                <w:sz w:val="18"/>
                <w:szCs w:val="18"/>
              </w:rPr>
              <w:t>lower than 2019</w:t>
            </w:r>
            <w:r w:rsidR="0065015E" w:rsidRPr="000D30D7">
              <w:rPr>
                <w:bCs/>
                <w:iCs/>
                <w:color w:val="auto"/>
                <w:sz w:val="18"/>
                <w:szCs w:val="18"/>
              </w:rPr>
              <w:t>A</w:t>
            </w:r>
            <w:r w:rsidRPr="000D30D7">
              <w:rPr>
                <w:bCs/>
                <w:iCs/>
                <w:color w:val="auto"/>
                <w:sz w:val="18"/>
                <w:szCs w:val="18"/>
              </w:rPr>
              <w:t xml:space="preserve"> </w:t>
            </w:r>
            <w:r w:rsidR="007D793A">
              <w:rPr>
                <w:bCs/>
                <w:iCs/>
                <w:color w:val="auto"/>
                <w:sz w:val="18"/>
                <w:szCs w:val="18"/>
              </w:rPr>
              <w:t xml:space="preserve"> mainly </w:t>
            </w:r>
            <w:r w:rsidR="0065015E" w:rsidRPr="000D30D7">
              <w:rPr>
                <w:bCs/>
                <w:iCs/>
                <w:color w:val="auto"/>
                <w:sz w:val="18"/>
                <w:szCs w:val="18"/>
              </w:rPr>
              <w:t xml:space="preserve">due to </w:t>
            </w:r>
            <w:r w:rsidR="007D793A" w:rsidRPr="007D793A">
              <w:rPr>
                <w:bCs/>
                <w:iCs/>
                <w:color w:val="auto"/>
                <w:sz w:val="18"/>
                <w:szCs w:val="18"/>
              </w:rPr>
              <w:t>financial measures taken in 2020 in light of</w:t>
            </w:r>
            <w:r w:rsidR="007D793A" w:rsidRPr="007D793A" w:rsidDel="007D793A">
              <w:rPr>
                <w:bCs/>
                <w:iCs/>
                <w:color w:val="auto"/>
                <w:sz w:val="18"/>
                <w:szCs w:val="18"/>
              </w:rPr>
              <w:t xml:space="preserve"> </w:t>
            </w:r>
            <w:r w:rsidR="0065015E" w:rsidRPr="000D30D7">
              <w:rPr>
                <w:bCs/>
                <w:iCs/>
                <w:color w:val="auto"/>
                <w:sz w:val="18"/>
                <w:szCs w:val="18"/>
              </w:rPr>
              <w:t xml:space="preserve">COVID-19. </w:t>
            </w:r>
          </w:p>
        </w:tc>
      </w:tr>
      <w:tr w:rsidR="00937E52" w:rsidRPr="009A19BC" w14:paraId="3C0EFD6B" w14:textId="77777777" w:rsidTr="002C4F49">
        <w:tc>
          <w:tcPr>
            <w:tcW w:w="2122" w:type="dxa"/>
            <w:shd w:val="clear" w:color="auto" w:fill="auto"/>
          </w:tcPr>
          <w:p w14:paraId="3F411CDB" w14:textId="77777777" w:rsidR="00937E52" w:rsidRPr="009A19BC" w:rsidRDefault="00937E52" w:rsidP="00937E52">
            <w:pPr>
              <w:pStyle w:val="Default"/>
              <w:jc w:val="both"/>
              <w:rPr>
                <w:bCs/>
                <w:color w:val="auto"/>
                <w:sz w:val="18"/>
                <w:szCs w:val="18"/>
              </w:rPr>
            </w:pPr>
            <w:r w:rsidRPr="009A19BC">
              <w:rPr>
                <w:bCs/>
                <w:color w:val="auto"/>
                <w:sz w:val="18"/>
                <w:szCs w:val="18"/>
              </w:rPr>
              <w:t>1.3 Depreciation</w:t>
            </w:r>
          </w:p>
        </w:tc>
        <w:tc>
          <w:tcPr>
            <w:tcW w:w="7121" w:type="dxa"/>
            <w:shd w:val="clear" w:color="auto" w:fill="auto"/>
          </w:tcPr>
          <w:p w14:paraId="635E8486" w14:textId="0798DBAE" w:rsidR="00937E52" w:rsidRPr="009A19BC" w:rsidRDefault="00DC1B11" w:rsidP="00937E52">
            <w:pPr>
              <w:pStyle w:val="Default"/>
              <w:jc w:val="both"/>
              <w:rPr>
                <w:bCs/>
                <w:iCs/>
                <w:color w:val="auto"/>
                <w:sz w:val="18"/>
                <w:szCs w:val="18"/>
              </w:rPr>
            </w:pPr>
            <w:r>
              <w:rPr>
                <w:bCs/>
                <w:iCs/>
                <w:color w:val="auto"/>
                <w:sz w:val="18"/>
                <w:szCs w:val="18"/>
                <w:lang w:val="en-US"/>
              </w:rPr>
              <w:t>N/A</w:t>
            </w:r>
          </w:p>
        </w:tc>
      </w:tr>
      <w:tr w:rsidR="00937E52" w:rsidRPr="009A19BC" w14:paraId="7C4CC5BF" w14:textId="77777777" w:rsidTr="002C4F49">
        <w:tc>
          <w:tcPr>
            <w:tcW w:w="2122" w:type="dxa"/>
            <w:shd w:val="clear" w:color="auto" w:fill="auto"/>
          </w:tcPr>
          <w:p w14:paraId="261CCB90" w14:textId="77777777" w:rsidR="00937E52" w:rsidRPr="009A19BC" w:rsidRDefault="00937E52" w:rsidP="00937E52">
            <w:pPr>
              <w:pStyle w:val="Default"/>
              <w:jc w:val="both"/>
              <w:rPr>
                <w:bCs/>
                <w:color w:val="auto"/>
                <w:sz w:val="18"/>
                <w:szCs w:val="18"/>
              </w:rPr>
            </w:pPr>
            <w:r w:rsidRPr="009A19BC">
              <w:rPr>
                <w:bCs/>
                <w:color w:val="auto"/>
                <w:sz w:val="18"/>
                <w:szCs w:val="18"/>
              </w:rPr>
              <w:t>1.4 Cost of capital</w:t>
            </w:r>
          </w:p>
        </w:tc>
        <w:tc>
          <w:tcPr>
            <w:tcW w:w="7121" w:type="dxa"/>
            <w:shd w:val="clear" w:color="auto" w:fill="auto"/>
          </w:tcPr>
          <w:p w14:paraId="331308FE" w14:textId="67B74FD6" w:rsidR="00937E52" w:rsidRPr="009A19BC" w:rsidRDefault="00DC1B11" w:rsidP="00937E52">
            <w:pPr>
              <w:pStyle w:val="Default"/>
              <w:jc w:val="both"/>
              <w:rPr>
                <w:bCs/>
                <w:iCs/>
                <w:color w:val="auto"/>
                <w:sz w:val="18"/>
                <w:szCs w:val="18"/>
              </w:rPr>
            </w:pPr>
            <w:r>
              <w:rPr>
                <w:bCs/>
                <w:iCs/>
                <w:color w:val="auto"/>
                <w:sz w:val="18"/>
                <w:szCs w:val="18"/>
                <w:lang w:val="en-US"/>
              </w:rPr>
              <w:t>N/A</w:t>
            </w:r>
          </w:p>
        </w:tc>
      </w:tr>
      <w:tr w:rsidR="00937E52" w:rsidRPr="009A19BC" w14:paraId="36511D62" w14:textId="77777777" w:rsidTr="002C4F49">
        <w:tc>
          <w:tcPr>
            <w:tcW w:w="2122" w:type="dxa"/>
            <w:shd w:val="clear" w:color="auto" w:fill="auto"/>
          </w:tcPr>
          <w:p w14:paraId="284B298C" w14:textId="77777777" w:rsidR="00937E52" w:rsidRPr="009A19BC" w:rsidRDefault="00937E52" w:rsidP="00937E52">
            <w:pPr>
              <w:pStyle w:val="Default"/>
              <w:jc w:val="both"/>
              <w:rPr>
                <w:bCs/>
                <w:color w:val="auto"/>
                <w:sz w:val="18"/>
                <w:szCs w:val="18"/>
              </w:rPr>
            </w:pPr>
            <w:r w:rsidRPr="009A19BC">
              <w:rPr>
                <w:bCs/>
                <w:color w:val="auto"/>
                <w:sz w:val="18"/>
                <w:szCs w:val="18"/>
              </w:rPr>
              <w:t>1.5 Exceptional items</w:t>
            </w:r>
          </w:p>
        </w:tc>
        <w:tc>
          <w:tcPr>
            <w:tcW w:w="7121" w:type="dxa"/>
            <w:shd w:val="clear" w:color="auto" w:fill="auto"/>
          </w:tcPr>
          <w:p w14:paraId="318E2C95" w14:textId="0933A5F2" w:rsidR="00937E52" w:rsidRPr="009A19BC" w:rsidRDefault="00DC1B11" w:rsidP="00937E52">
            <w:pPr>
              <w:pStyle w:val="Default"/>
              <w:jc w:val="both"/>
              <w:rPr>
                <w:bCs/>
                <w:iCs/>
                <w:color w:val="auto"/>
                <w:sz w:val="18"/>
                <w:szCs w:val="18"/>
              </w:rPr>
            </w:pPr>
            <w:r>
              <w:rPr>
                <w:bCs/>
                <w:iCs/>
                <w:color w:val="auto"/>
                <w:sz w:val="18"/>
                <w:szCs w:val="18"/>
                <w:lang w:val="en-US"/>
              </w:rPr>
              <w:t>N/A</w:t>
            </w:r>
          </w:p>
        </w:tc>
      </w:tr>
    </w:tbl>
    <w:p w14:paraId="3F60C6A3" w14:textId="6D771576" w:rsidR="00771831" w:rsidRDefault="00771831" w:rsidP="00B4267E">
      <w:pPr>
        <w:pStyle w:val="Default"/>
        <w:jc w:val="both"/>
        <w:rPr>
          <w:rFonts w:ascii="Arial" w:hAnsi="Arial" w:cs="Arial"/>
          <w:color w:val="17365D"/>
          <w:sz w:val="20"/>
          <w:szCs w:val="20"/>
        </w:rPr>
      </w:pPr>
    </w:p>
    <w:p w14:paraId="6C063952" w14:textId="77777777" w:rsidR="00B4267E" w:rsidRPr="00CA5B88" w:rsidRDefault="00B4267E" w:rsidP="00B4267E">
      <w:pPr>
        <w:pStyle w:val="Default"/>
        <w:jc w:val="both"/>
        <w:rPr>
          <w:rFonts w:ascii="Arial" w:hAnsi="Arial" w:cs="Arial"/>
          <w:color w:val="17365D"/>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209"/>
      </w:tblGrid>
      <w:tr w:rsidR="00B4267E" w:rsidRPr="00CA5B88" w14:paraId="22785BE2" w14:textId="77777777" w:rsidTr="002C4F49">
        <w:tc>
          <w:tcPr>
            <w:tcW w:w="9209" w:type="dxa"/>
            <w:shd w:val="clear" w:color="auto" w:fill="C6D9F1"/>
          </w:tcPr>
          <w:p w14:paraId="45D1F387" w14:textId="77777777" w:rsidR="00B4267E" w:rsidRPr="00CA5B88" w:rsidRDefault="00B4267E" w:rsidP="00BC0FFA">
            <w:pPr>
              <w:pStyle w:val="Default"/>
              <w:spacing w:before="60" w:after="60"/>
              <w:rPr>
                <w:rFonts w:ascii="Arial" w:hAnsi="Arial" w:cs="Arial"/>
                <w:b/>
                <w:color w:val="17365D"/>
                <w:sz w:val="20"/>
                <w:szCs w:val="20"/>
              </w:rPr>
            </w:pPr>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5C630C">
              <w:rPr>
                <w:rFonts w:ascii="Arial" w:hAnsi="Arial" w:cs="Arial"/>
                <w:b/>
                <w:color w:val="17365D"/>
                <w:sz w:val="20"/>
                <w:szCs w:val="20"/>
              </w:rPr>
              <w:t>escription of the reported actual service units and a description of any differences between those units and the figures provided by the entity that is billing and collecting charges as well as any differences between those units and the forecast set in the performance plan, for each year of the reference period;</w:t>
            </w:r>
          </w:p>
        </w:tc>
      </w:tr>
    </w:tbl>
    <w:p w14:paraId="7E69BEC5" w14:textId="778A7A7C" w:rsidR="00B4267E" w:rsidRDefault="00B4267E" w:rsidP="00B4267E">
      <w:pPr>
        <w:pStyle w:val="Default"/>
        <w:jc w:val="both"/>
        <w:rPr>
          <w:rFonts w:ascii="Arial" w:hAnsi="Arial" w:cs="Arial"/>
          <w:color w:val="17365D"/>
          <w:sz w:val="20"/>
          <w:szCs w:val="20"/>
        </w:rPr>
      </w:pPr>
    </w:p>
    <w:p w14:paraId="337E2DD8" w14:textId="4719988F" w:rsidR="00CC0861" w:rsidRPr="00530D29" w:rsidRDefault="00C04283" w:rsidP="00B4267E">
      <w:pPr>
        <w:pStyle w:val="Default"/>
        <w:jc w:val="both"/>
        <w:rPr>
          <w:rFonts w:ascii="Arial" w:eastAsiaTheme="minorHAnsi" w:hAnsi="Arial" w:cs="Arial"/>
          <w:color w:val="auto"/>
          <w:sz w:val="20"/>
          <w:szCs w:val="20"/>
        </w:rPr>
      </w:pPr>
      <w:r>
        <w:rPr>
          <w:rFonts w:ascii="Arial" w:eastAsiaTheme="minorHAnsi" w:hAnsi="Arial" w:cs="Arial"/>
          <w:color w:val="auto"/>
          <w:sz w:val="20"/>
          <w:szCs w:val="20"/>
        </w:rPr>
        <w:t>The</w:t>
      </w:r>
      <w:r w:rsidR="005D3E1D" w:rsidRPr="00530D29">
        <w:rPr>
          <w:rFonts w:ascii="Arial" w:eastAsiaTheme="minorHAnsi" w:hAnsi="Arial" w:cs="Arial"/>
          <w:color w:val="auto"/>
          <w:sz w:val="20"/>
          <w:szCs w:val="20"/>
        </w:rPr>
        <w:t xml:space="preserve"> total </w:t>
      </w:r>
      <w:r w:rsidR="00AD63E7">
        <w:rPr>
          <w:rFonts w:ascii="Arial" w:eastAsiaTheme="minorHAnsi" w:hAnsi="Arial" w:cs="Arial"/>
          <w:color w:val="auto"/>
          <w:sz w:val="20"/>
          <w:szCs w:val="20"/>
        </w:rPr>
        <w:t xml:space="preserve">amount of </w:t>
      </w:r>
      <w:r w:rsidR="005D3E1D" w:rsidRPr="00530D29">
        <w:rPr>
          <w:rFonts w:ascii="Arial" w:eastAsiaTheme="minorHAnsi" w:hAnsi="Arial" w:cs="Arial"/>
          <w:color w:val="auto"/>
          <w:sz w:val="20"/>
          <w:szCs w:val="20"/>
        </w:rPr>
        <w:t xml:space="preserve">service units </w:t>
      </w:r>
      <w:r>
        <w:rPr>
          <w:rFonts w:ascii="Arial" w:eastAsiaTheme="minorHAnsi" w:hAnsi="Arial" w:cs="Arial"/>
          <w:color w:val="auto"/>
          <w:sz w:val="20"/>
          <w:szCs w:val="20"/>
        </w:rPr>
        <w:t xml:space="preserve">in </w:t>
      </w:r>
      <w:r w:rsidRPr="00530D29">
        <w:rPr>
          <w:rFonts w:ascii="Arial" w:eastAsiaTheme="minorHAnsi" w:hAnsi="Arial" w:cs="Arial"/>
          <w:color w:val="auto"/>
          <w:sz w:val="20"/>
          <w:szCs w:val="20"/>
        </w:rPr>
        <w:t>2020A w</w:t>
      </w:r>
      <w:r>
        <w:rPr>
          <w:rFonts w:ascii="Arial" w:eastAsiaTheme="minorHAnsi" w:hAnsi="Arial" w:cs="Arial"/>
          <w:color w:val="auto"/>
          <w:sz w:val="20"/>
          <w:szCs w:val="20"/>
        </w:rPr>
        <w:t>as</w:t>
      </w:r>
      <w:r w:rsidRPr="00530D29">
        <w:rPr>
          <w:rFonts w:ascii="Arial" w:eastAsiaTheme="minorHAnsi" w:hAnsi="Arial" w:cs="Arial"/>
          <w:color w:val="auto"/>
          <w:sz w:val="20"/>
          <w:szCs w:val="20"/>
        </w:rPr>
        <w:t xml:space="preserve"> </w:t>
      </w:r>
      <w:r w:rsidR="005D3E1D" w:rsidRPr="00530D29">
        <w:rPr>
          <w:rFonts w:ascii="Arial" w:eastAsiaTheme="minorHAnsi" w:hAnsi="Arial" w:cs="Arial"/>
          <w:color w:val="auto"/>
          <w:sz w:val="20"/>
          <w:szCs w:val="20"/>
        </w:rPr>
        <w:t xml:space="preserve">49,54% lower than the total </w:t>
      </w:r>
      <w:r w:rsidR="00AD63E7">
        <w:rPr>
          <w:rFonts w:ascii="Arial" w:eastAsiaTheme="minorHAnsi" w:hAnsi="Arial" w:cs="Arial"/>
          <w:color w:val="auto"/>
          <w:sz w:val="20"/>
          <w:szCs w:val="20"/>
        </w:rPr>
        <w:t xml:space="preserve">amount of </w:t>
      </w:r>
      <w:r w:rsidR="005D3E1D" w:rsidRPr="00530D29">
        <w:rPr>
          <w:rFonts w:ascii="Arial" w:eastAsiaTheme="minorHAnsi" w:hAnsi="Arial" w:cs="Arial"/>
          <w:color w:val="auto"/>
          <w:sz w:val="20"/>
          <w:szCs w:val="20"/>
        </w:rPr>
        <w:t>service units in 2019A.</w:t>
      </w:r>
    </w:p>
    <w:p w14:paraId="42C8AD46" w14:textId="27AC3E48" w:rsidR="005D3E1D" w:rsidRDefault="005D3E1D" w:rsidP="00B4267E">
      <w:pPr>
        <w:pStyle w:val="Default"/>
        <w:jc w:val="both"/>
        <w:rPr>
          <w:rFonts w:ascii="Arial" w:eastAsiaTheme="minorHAnsi" w:hAnsi="Arial" w:cs="Arial"/>
          <w:color w:val="00B0F0"/>
          <w:sz w:val="20"/>
          <w:szCs w:val="20"/>
        </w:rPr>
      </w:pPr>
    </w:p>
    <w:p w14:paraId="73FAA515" w14:textId="25A86C17" w:rsidR="00937E52" w:rsidRDefault="00937E52" w:rsidP="00B4267E">
      <w:pPr>
        <w:pStyle w:val="Default"/>
        <w:jc w:val="both"/>
        <w:rPr>
          <w:rFonts w:ascii="Arial" w:hAnsi="Arial" w:cs="Arial"/>
          <w:color w:val="17365D"/>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209"/>
      </w:tblGrid>
      <w:tr w:rsidR="00B4267E" w:rsidRPr="00CA5B88" w14:paraId="2BF1F185" w14:textId="77777777" w:rsidTr="002C4F49">
        <w:tc>
          <w:tcPr>
            <w:tcW w:w="9209" w:type="dxa"/>
            <w:shd w:val="clear" w:color="auto" w:fill="C6D9F1"/>
          </w:tcPr>
          <w:p w14:paraId="6E25671F" w14:textId="77777777" w:rsidR="00B4267E" w:rsidRPr="00CA5B88" w:rsidRDefault="00B4267E" w:rsidP="00BC0FFA">
            <w:pPr>
              <w:pStyle w:val="Default"/>
              <w:spacing w:before="60" w:after="60"/>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B</w:t>
            </w:r>
            <w:r w:rsidRPr="005C630C">
              <w:rPr>
                <w:rFonts w:ascii="Arial" w:hAnsi="Arial" w:cs="Arial"/>
                <w:b/>
                <w:color w:val="17365D"/>
                <w:sz w:val="20"/>
                <w:szCs w:val="20"/>
              </w:rPr>
              <w:t>reakdown of the actual costs of common projects per individual project;</w:t>
            </w:r>
          </w:p>
        </w:tc>
      </w:tr>
    </w:tbl>
    <w:p w14:paraId="7BCB4C76" w14:textId="77777777" w:rsidR="00B4267E" w:rsidRDefault="00B4267E" w:rsidP="00B4267E">
      <w:pPr>
        <w:pStyle w:val="Default"/>
        <w:jc w:val="both"/>
        <w:rPr>
          <w:rFonts w:ascii="Arial" w:hAnsi="Arial" w:cs="Arial"/>
          <w:color w:val="17365D"/>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276"/>
        <w:gridCol w:w="1275"/>
        <w:gridCol w:w="1352"/>
        <w:gridCol w:w="1350"/>
        <w:gridCol w:w="1296"/>
      </w:tblGrid>
      <w:tr w:rsidR="00E2163C" w:rsidRPr="006C2F02" w14:paraId="7F48F61C" w14:textId="77777777" w:rsidTr="00BC0FFA">
        <w:trPr>
          <w:trHeight w:val="210"/>
        </w:trPr>
        <w:tc>
          <w:tcPr>
            <w:tcW w:w="9243" w:type="dxa"/>
            <w:gridSpan w:val="6"/>
          </w:tcPr>
          <w:p w14:paraId="41414035" w14:textId="208022F4" w:rsidR="00E2163C" w:rsidRDefault="006807C7" w:rsidP="00BC0FFA">
            <w:pPr>
              <w:pStyle w:val="Default"/>
              <w:jc w:val="center"/>
              <w:rPr>
                <w:b/>
                <w:color w:val="auto"/>
                <w:sz w:val="18"/>
                <w:szCs w:val="18"/>
              </w:rPr>
            </w:pPr>
            <w:proofErr w:type="spellStart"/>
            <w:r>
              <w:rPr>
                <w:b/>
                <w:color w:val="auto"/>
                <w:sz w:val="18"/>
                <w:szCs w:val="18"/>
              </w:rPr>
              <w:t>Avinor</w:t>
            </w:r>
            <w:proofErr w:type="spellEnd"/>
            <w:r>
              <w:rPr>
                <w:b/>
                <w:color w:val="auto"/>
                <w:sz w:val="18"/>
                <w:szCs w:val="18"/>
              </w:rPr>
              <w:t xml:space="preserve"> ANS</w:t>
            </w:r>
          </w:p>
        </w:tc>
      </w:tr>
      <w:tr w:rsidR="00E2163C" w:rsidRPr="006C2F02" w14:paraId="5543297B" w14:textId="77777777" w:rsidTr="00BC0FFA">
        <w:trPr>
          <w:trHeight w:val="210"/>
        </w:trPr>
        <w:tc>
          <w:tcPr>
            <w:tcW w:w="9243" w:type="dxa"/>
            <w:gridSpan w:val="6"/>
          </w:tcPr>
          <w:p w14:paraId="2D168D9A" w14:textId="77777777" w:rsidR="00E2163C" w:rsidRDefault="00E2163C" w:rsidP="00BC0FFA">
            <w:pPr>
              <w:pStyle w:val="Default"/>
              <w:jc w:val="center"/>
              <w:rPr>
                <w:b/>
                <w:color w:val="auto"/>
                <w:sz w:val="18"/>
                <w:szCs w:val="18"/>
              </w:rPr>
            </w:pPr>
            <w:r>
              <w:rPr>
                <w:b/>
                <w:color w:val="auto"/>
                <w:sz w:val="18"/>
                <w:szCs w:val="18"/>
              </w:rPr>
              <w:t xml:space="preserve">Determined costs of common projects </w:t>
            </w:r>
            <w:r>
              <w:rPr>
                <w:rFonts w:cs="Calibri"/>
                <w:b/>
                <w:bCs/>
                <w:sz w:val="18"/>
                <w:szCs w:val="18"/>
              </w:rPr>
              <w:t>(in nominal terms in ‘000 national currency)</w:t>
            </w:r>
          </w:p>
        </w:tc>
      </w:tr>
      <w:tr w:rsidR="00E2163C" w:rsidRPr="003D6459" w14:paraId="351EB420" w14:textId="77777777" w:rsidTr="00BC0FFA">
        <w:tc>
          <w:tcPr>
            <w:tcW w:w="2694" w:type="dxa"/>
            <w:shd w:val="clear" w:color="auto" w:fill="auto"/>
            <w:vAlign w:val="bottom"/>
          </w:tcPr>
          <w:p w14:paraId="0C9B3A0A" w14:textId="77777777" w:rsidR="00E2163C" w:rsidRPr="003D6459" w:rsidRDefault="00E2163C" w:rsidP="00BC0FFA">
            <w:pPr>
              <w:spacing w:before="0" w:after="0"/>
              <w:jc w:val="center"/>
              <w:rPr>
                <w:rFonts w:ascii="Calibri" w:hAnsi="Calibri" w:cs="Calibri"/>
                <w:b/>
                <w:sz w:val="18"/>
                <w:szCs w:val="18"/>
              </w:rPr>
            </w:pPr>
            <w:r>
              <w:rPr>
                <w:rFonts w:ascii="Calibri" w:hAnsi="Calibri" w:cs="Calibri"/>
                <w:b/>
                <w:sz w:val="18"/>
                <w:szCs w:val="18"/>
              </w:rPr>
              <w:t>CP reference</w:t>
            </w:r>
          </w:p>
        </w:tc>
        <w:tc>
          <w:tcPr>
            <w:tcW w:w="1276" w:type="dxa"/>
          </w:tcPr>
          <w:p w14:paraId="3A0E49C1" w14:textId="77777777" w:rsidR="00E2163C" w:rsidRPr="003D6459" w:rsidRDefault="00E2163C" w:rsidP="00BC0FFA">
            <w:pPr>
              <w:pStyle w:val="Default"/>
              <w:jc w:val="center"/>
              <w:rPr>
                <w:b/>
                <w:bCs/>
                <w:iCs/>
                <w:color w:val="auto"/>
                <w:sz w:val="18"/>
                <w:szCs w:val="18"/>
              </w:rPr>
            </w:pPr>
            <w:r w:rsidRPr="003D6459">
              <w:rPr>
                <w:b/>
                <w:bCs/>
                <w:iCs/>
                <w:color w:val="auto"/>
                <w:sz w:val="18"/>
                <w:szCs w:val="18"/>
              </w:rPr>
              <w:t>2020</w:t>
            </w:r>
          </w:p>
        </w:tc>
        <w:tc>
          <w:tcPr>
            <w:tcW w:w="1275" w:type="dxa"/>
          </w:tcPr>
          <w:p w14:paraId="51304CD3" w14:textId="77777777" w:rsidR="00E2163C" w:rsidRPr="003D6459" w:rsidRDefault="00E2163C" w:rsidP="00BC0FFA">
            <w:pPr>
              <w:pStyle w:val="Default"/>
              <w:jc w:val="center"/>
              <w:rPr>
                <w:b/>
                <w:bCs/>
                <w:iCs/>
                <w:color w:val="auto"/>
                <w:sz w:val="18"/>
                <w:szCs w:val="18"/>
              </w:rPr>
            </w:pPr>
            <w:r w:rsidRPr="003D6459">
              <w:rPr>
                <w:b/>
                <w:bCs/>
                <w:iCs/>
                <w:color w:val="auto"/>
                <w:sz w:val="18"/>
                <w:szCs w:val="18"/>
              </w:rPr>
              <w:t>2021</w:t>
            </w:r>
          </w:p>
        </w:tc>
        <w:tc>
          <w:tcPr>
            <w:tcW w:w="1352" w:type="dxa"/>
          </w:tcPr>
          <w:p w14:paraId="45002114" w14:textId="77777777" w:rsidR="00E2163C" w:rsidRPr="003D6459" w:rsidRDefault="00E2163C" w:rsidP="00BC0FFA">
            <w:pPr>
              <w:pStyle w:val="Default"/>
              <w:jc w:val="center"/>
              <w:rPr>
                <w:b/>
                <w:bCs/>
                <w:iCs/>
                <w:color w:val="auto"/>
                <w:sz w:val="18"/>
                <w:szCs w:val="18"/>
              </w:rPr>
            </w:pPr>
            <w:r w:rsidRPr="003D6459">
              <w:rPr>
                <w:b/>
                <w:bCs/>
                <w:iCs/>
                <w:color w:val="auto"/>
                <w:sz w:val="18"/>
                <w:szCs w:val="18"/>
              </w:rPr>
              <w:t>2022</w:t>
            </w:r>
          </w:p>
        </w:tc>
        <w:tc>
          <w:tcPr>
            <w:tcW w:w="1350" w:type="dxa"/>
            <w:shd w:val="clear" w:color="auto" w:fill="auto"/>
          </w:tcPr>
          <w:p w14:paraId="3101E1B8" w14:textId="77777777" w:rsidR="00E2163C" w:rsidRPr="003D6459" w:rsidRDefault="00E2163C" w:rsidP="00BC0FFA">
            <w:pPr>
              <w:pStyle w:val="Default"/>
              <w:jc w:val="center"/>
              <w:rPr>
                <w:b/>
                <w:bCs/>
                <w:iCs/>
                <w:color w:val="auto"/>
                <w:sz w:val="18"/>
                <w:szCs w:val="18"/>
              </w:rPr>
            </w:pPr>
            <w:r w:rsidRPr="003D6459">
              <w:rPr>
                <w:b/>
                <w:bCs/>
                <w:iCs/>
                <w:color w:val="auto"/>
                <w:sz w:val="18"/>
                <w:szCs w:val="18"/>
              </w:rPr>
              <w:t>2023</w:t>
            </w:r>
          </w:p>
        </w:tc>
        <w:tc>
          <w:tcPr>
            <w:tcW w:w="1296" w:type="dxa"/>
          </w:tcPr>
          <w:p w14:paraId="303D2770" w14:textId="77777777" w:rsidR="00E2163C" w:rsidRPr="003D6459" w:rsidRDefault="00E2163C" w:rsidP="00BC0FFA">
            <w:pPr>
              <w:pStyle w:val="Default"/>
              <w:jc w:val="center"/>
              <w:rPr>
                <w:b/>
                <w:bCs/>
                <w:iCs/>
                <w:color w:val="auto"/>
                <w:sz w:val="18"/>
                <w:szCs w:val="18"/>
              </w:rPr>
            </w:pPr>
            <w:r w:rsidRPr="003D6459">
              <w:rPr>
                <w:b/>
                <w:bCs/>
                <w:iCs/>
                <w:color w:val="auto"/>
                <w:sz w:val="18"/>
                <w:szCs w:val="18"/>
              </w:rPr>
              <w:t>2024</w:t>
            </w:r>
          </w:p>
        </w:tc>
      </w:tr>
      <w:tr w:rsidR="00E2163C" w:rsidRPr="009203C2" w14:paraId="40E36449" w14:textId="77777777" w:rsidTr="00BC0FFA">
        <w:tc>
          <w:tcPr>
            <w:tcW w:w="2694" w:type="dxa"/>
            <w:shd w:val="clear" w:color="auto" w:fill="auto"/>
            <w:vAlign w:val="bottom"/>
          </w:tcPr>
          <w:p w14:paraId="75F1118E" w14:textId="7498047A" w:rsidR="00E2163C" w:rsidRDefault="00A231AC" w:rsidP="00BC0FFA">
            <w:pPr>
              <w:spacing w:before="0" w:after="0"/>
              <w:jc w:val="left"/>
              <w:rPr>
                <w:rFonts w:ascii="Calibri" w:hAnsi="Calibri" w:cs="Calibri"/>
                <w:sz w:val="18"/>
                <w:szCs w:val="18"/>
              </w:rPr>
            </w:pPr>
            <w:r>
              <w:rPr>
                <w:rFonts w:ascii="Calibri" w:hAnsi="Calibri" w:cs="Calibri"/>
                <w:sz w:val="18"/>
                <w:szCs w:val="18"/>
              </w:rPr>
              <w:t>INEA/CEF/TRAN/M2014/1037259</w:t>
            </w:r>
          </w:p>
        </w:tc>
        <w:tc>
          <w:tcPr>
            <w:tcW w:w="1276" w:type="dxa"/>
          </w:tcPr>
          <w:p w14:paraId="3C3B5DF0" w14:textId="26D466B5" w:rsidR="00E2163C" w:rsidRPr="009203C2" w:rsidRDefault="00B63C5F" w:rsidP="006807C7">
            <w:pPr>
              <w:pStyle w:val="Default"/>
              <w:jc w:val="right"/>
              <w:rPr>
                <w:bCs/>
                <w:iCs/>
                <w:color w:val="auto"/>
                <w:sz w:val="18"/>
                <w:szCs w:val="18"/>
              </w:rPr>
            </w:pPr>
            <w:r>
              <w:rPr>
                <w:bCs/>
                <w:iCs/>
                <w:color w:val="auto"/>
                <w:sz w:val="18"/>
                <w:szCs w:val="18"/>
              </w:rPr>
              <w:t>21</w:t>
            </w:r>
            <w:r w:rsidR="00FB267D">
              <w:rPr>
                <w:bCs/>
                <w:iCs/>
                <w:color w:val="auto"/>
                <w:sz w:val="18"/>
                <w:szCs w:val="18"/>
              </w:rPr>
              <w:t> </w:t>
            </w:r>
            <w:r>
              <w:rPr>
                <w:bCs/>
                <w:iCs/>
                <w:color w:val="auto"/>
                <w:sz w:val="18"/>
                <w:szCs w:val="18"/>
              </w:rPr>
              <w:t>455</w:t>
            </w:r>
            <w:r w:rsidR="00FB267D">
              <w:rPr>
                <w:bCs/>
                <w:iCs/>
                <w:color w:val="auto"/>
                <w:sz w:val="18"/>
                <w:szCs w:val="18"/>
              </w:rPr>
              <w:t xml:space="preserve"> KNOK</w:t>
            </w:r>
          </w:p>
        </w:tc>
        <w:tc>
          <w:tcPr>
            <w:tcW w:w="1275" w:type="dxa"/>
          </w:tcPr>
          <w:p w14:paraId="4C8F82A6" w14:textId="44C6666D" w:rsidR="00E2163C" w:rsidRPr="009203C2" w:rsidRDefault="00FB267D" w:rsidP="006807C7">
            <w:pPr>
              <w:pStyle w:val="Default"/>
              <w:jc w:val="right"/>
              <w:rPr>
                <w:bCs/>
                <w:iCs/>
                <w:color w:val="auto"/>
                <w:sz w:val="18"/>
                <w:szCs w:val="18"/>
              </w:rPr>
            </w:pPr>
            <w:r>
              <w:rPr>
                <w:bCs/>
                <w:iCs/>
                <w:color w:val="auto"/>
                <w:sz w:val="18"/>
                <w:szCs w:val="18"/>
              </w:rPr>
              <w:t>21 455 KNOK</w:t>
            </w:r>
          </w:p>
        </w:tc>
        <w:tc>
          <w:tcPr>
            <w:tcW w:w="1352" w:type="dxa"/>
          </w:tcPr>
          <w:p w14:paraId="3893F891" w14:textId="4138E459" w:rsidR="00E2163C" w:rsidRPr="009203C2" w:rsidRDefault="00FB267D" w:rsidP="006807C7">
            <w:pPr>
              <w:pStyle w:val="Default"/>
              <w:jc w:val="right"/>
              <w:rPr>
                <w:bCs/>
                <w:iCs/>
                <w:color w:val="auto"/>
                <w:sz w:val="18"/>
                <w:szCs w:val="18"/>
              </w:rPr>
            </w:pPr>
            <w:r>
              <w:rPr>
                <w:bCs/>
                <w:iCs/>
                <w:color w:val="auto"/>
                <w:sz w:val="18"/>
                <w:szCs w:val="18"/>
              </w:rPr>
              <w:t>21 455 KNOK</w:t>
            </w:r>
          </w:p>
        </w:tc>
        <w:tc>
          <w:tcPr>
            <w:tcW w:w="1350" w:type="dxa"/>
            <w:shd w:val="clear" w:color="auto" w:fill="auto"/>
          </w:tcPr>
          <w:p w14:paraId="1FB3997C" w14:textId="77777777" w:rsidR="00E2163C" w:rsidRPr="009203C2" w:rsidRDefault="00E2163C" w:rsidP="00BC0FFA">
            <w:pPr>
              <w:pStyle w:val="Default"/>
              <w:rPr>
                <w:bCs/>
                <w:iCs/>
                <w:color w:val="auto"/>
                <w:sz w:val="18"/>
                <w:szCs w:val="18"/>
              </w:rPr>
            </w:pPr>
          </w:p>
        </w:tc>
        <w:tc>
          <w:tcPr>
            <w:tcW w:w="1296" w:type="dxa"/>
          </w:tcPr>
          <w:p w14:paraId="4813F679" w14:textId="77777777" w:rsidR="00E2163C" w:rsidRPr="009203C2" w:rsidRDefault="00E2163C" w:rsidP="00BC0FFA">
            <w:pPr>
              <w:pStyle w:val="Default"/>
              <w:rPr>
                <w:bCs/>
                <w:iCs/>
                <w:color w:val="auto"/>
                <w:sz w:val="18"/>
                <w:szCs w:val="18"/>
              </w:rPr>
            </w:pPr>
          </w:p>
        </w:tc>
      </w:tr>
      <w:tr w:rsidR="00E2163C" w:rsidRPr="003520B8" w14:paraId="7DCC37F1" w14:textId="77777777" w:rsidTr="00BC0FFA">
        <w:trPr>
          <w:trHeight w:val="204"/>
        </w:trPr>
        <w:tc>
          <w:tcPr>
            <w:tcW w:w="2694" w:type="dxa"/>
            <w:shd w:val="clear" w:color="auto" w:fill="auto"/>
            <w:vAlign w:val="bottom"/>
          </w:tcPr>
          <w:p w14:paraId="6E8B26AC" w14:textId="77777777" w:rsidR="00E2163C" w:rsidRDefault="00E2163C" w:rsidP="00BC0FFA">
            <w:pPr>
              <w:spacing w:before="0" w:after="0"/>
              <w:jc w:val="left"/>
              <w:rPr>
                <w:rFonts w:ascii="Calibri" w:hAnsi="Calibri" w:cs="Calibri"/>
                <w:sz w:val="18"/>
                <w:szCs w:val="18"/>
              </w:rPr>
            </w:pPr>
          </w:p>
        </w:tc>
        <w:tc>
          <w:tcPr>
            <w:tcW w:w="1276" w:type="dxa"/>
          </w:tcPr>
          <w:p w14:paraId="6B5792BC" w14:textId="77777777" w:rsidR="00E2163C" w:rsidRPr="003520B8" w:rsidRDefault="00E2163C" w:rsidP="00BC0FFA">
            <w:pPr>
              <w:spacing w:before="0" w:after="0"/>
              <w:jc w:val="left"/>
              <w:rPr>
                <w:rFonts w:ascii="Calibri" w:hAnsi="Calibri" w:cs="Calibri"/>
                <w:sz w:val="18"/>
                <w:szCs w:val="18"/>
              </w:rPr>
            </w:pPr>
          </w:p>
        </w:tc>
        <w:tc>
          <w:tcPr>
            <w:tcW w:w="1275" w:type="dxa"/>
          </w:tcPr>
          <w:p w14:paraId="19A5390D" w14:textId="77777777" w:rsidR="00E2163C" w:rsidRPr="003520B8" w:rsidRDefault="00E2163C" w:rsidP="00BC0FFA">
            <w:pPr>
              <w:spacing w:before="0" w:after="0"/>
              <w:jc w:val="left"/>
              <w:rPr>
                <w:rFonts w:ascii="Calibri" w:hAnsi="Calibri" w:cs="Calibri"/>
                <w:sz w:val="18"/>
                <w:szCs w:val="18"/>
              </w:rPr>
            </w:pPr>
          </w:p>
        </w:tc>
        <w:tc>
          <w:tcPr>
            <w:tcW w:w="1352" w:type="dxa"/>
          </w:tcPr>
          <w:p w14:paraId="728A59D9" w14:textId="77777777" w:rsidR="00E2163C" w:rsidRPr="003520B8" w:rsidRDefault="00E2163C" w:rsidP="00BC0FFA">
            <w:pPr>
              <w:spacing w:before="0" w:after="0"/>
              <w:jc w:val="left"/>
              <w:rPr>
                <w:rFonts w:ascii="Calibri" w:hAnsi="Calibri" w:cs="Calibri"/>
                <w:sz w:val="18"/>
                <w:szCs w:val="18"/>
              </w:rPr>
            </w:pPr>
          </w:p>
        </w:tc>
        <w:tc>
          <w:tcPr>
            <w:tcW w:w="1350" w:type="dxa"/>
            <w:shd w:val="clear" w:color="auto" w:fill="auto"/>
          </w:tcPr>
          <w:p w14:paraId="40A5C787" w14:textId="77777777" w:rsidR="00E2163C" w:rsidRPr="003520B8" w:rsidRDefault="00E2163C" w:rsidP="00BC0FFA">
            <w:pPr>
              <w:spacing w:before="0" w:after="0"/>
              <w:jc w:val="left"/>
              <w:rPr>
                <w:rFonts w:ascii="Calibri" w:hAnsi="Calibri" w:cs="Calibri"/>
                <w:sz w:val="18"/>
                <w:szCs w:val="18"/>
              </w:rPr>
            </w:pPr>
          </w:p>
        </w:tc>
        <w:tc>
          <w:tcPr>
            <w:tcW w:w="1296" w:type="dxa"/>
          </w:tcPr>
          <w:p w14:paraId="32E45CE3" w14:textId="77777777" w:rsidR="00E2163C" w:rsidRPr="003520B8" w:rsidRDefault="00E2163C" w:rsidP="00BC0FFA">
            <w:pPr>
              <w:spacing w:before="0" w:after="0"/>
              <w:jc w:val="left"/>
              <w:rPr>
                <w:rFonts w:ascii="Calibri" w:hAnsi="Calibri" w:cs="Calibri"/>
                <w:sz w:val="18"/>
                <w:szCs w:val="18"/>
              </w:rPr>
            </w:pPr>
          </w:p>
        </w:tc>
      </w:tr>
      <w:tr w:rsidR="00E2163C" w:rsidRPr="009872E2" w14:paraId="06309600" w14:textId="77777777" w:rsidTr="00BC0FFA">
        <w:tc>
          <w:tcPr>
            <w:tcW w:w="2694" w:type="dxa"/>
            <w:shd w:val="clear" w:color="auto" w:fill="auto"/>
            <w:vAlign w:val="center"/>
          </w:tcPr>
          <w:p w14:paraId="59F64990" w14:textId="77777777" w:rsidR="00E2163C" w:rsidRPr="009872E2" w:rsidRDefault="00E2163C" w:rsidP="00BC0FFA">
            <w:pPr>
              <w:spacing w:before="0" w:after="0"/>
              <w:jc w:val="left"/>
              <w:rPr>
                <w:rFonts w:ascii="Calibri" w:hAnsi="Calibri" w:cs="Calibri"/>
                <w:b/>
                <w:sz w:val="18"/>
                <w:szCs w:val="18"/>
              </w:rPr>
            </w:pPr>
            <w:r w:rsidRPr="009872E2">
              <w:rPr>
                <w:rFonts w:ascii="Calibri" w:hAnsi="Calibri" w:cs="Calibri"/>
                <w:b/>
                <w:sz w:val="18"/>
                <w:szCs w:val="18"/>
              </w:rPr>
              <w:t>Total (Table 1 item 3.9)</w:t>
            </w:r>
          </w:p>
        </w:tc>
        <w:tc>
          <w:tcPr>
            <w:tcW w:w="1276" w:type="dxa"/>
          </w:tcPr>
          <w:p w14:paraId="58711013" w14:textId="72E6DBD6" w:rsidR="00E2163C" w:rsidRPr="00CA7B61" w:rsidRDefault="00A231AC" w:rsidP="00CA7B61">
            <w:pPr>
              <w:spacing w:before="0" w:after="0"/>
              <w:jc w:val="right"/>
              <w:rPr>
                <w:rFonts w:ascii="Calibri" w:hAnsi="Calibri" w:cs="Calibri"/>
                <w:b/>
                <w:sz w:val="18"/>
                <w:szCs w:val="18"/>
              </w:rPr>
            </w:pPr>
            <w:r w:rsidRPr="00CA7B61">
              <w:rPr>
                <w:rFonts w:ascii="Calibri" w:hAnsi="Calibri" w:cs="Calibri"/>
                <w:b/>
                <w:sz w:val="18"/>
                <w:szCs w:val="18"/>
              </w:rPr>
              <w:t>21</w:t>
            </w:r>
            <w:r w:rsidR="00FB267D" w:rsidRPr="00CA7B61">
              <w:rPr>
                <w:rFonts w:ascii="Calibri" w:hAnsi="Calibri" w:cs="Calibri"/>
                <w:b/>
                <w:sz w:val="18"/>
                <w:szCs w:val="18"/>
              </w:rPr>
              <w:t> </w:t>
            </w:r>
            <w:r w:rsidRPr="00CA7B61">
              <w:rPr>
                <w:rFonts w:ascii="Calibri" w:hAnsi="Calibri" w:cs="Calibri"/>
                <w:b/>
                <w:sz w:val="18"/>
                <w:szCs w:val="18"/>
              </w:rPr>
              <w:t>455</w:t>
            </w:r>
            <w:r w:rsidR="00FB267D" w:rsidRPr="00CA7B61">
              <w:rPr>
                <w:rFonts w:ascii="Calibri" w:hAnsi="Calibri" w:cs="Calibri"/>
                <w:b/>
                <w:sz w:val="18"/>
                <w:szCs w:val="18"/>
              </w:rPr>
              <w:t xml:space="preserve"> KNOK</w:t>
            </w:r>
          </w:p>
        </w:tc>
        <w:tc>
          <w:tcPr>
            <w:tcW w:w="1275" w:type="dxa"/>
          </w:tcPr>
          <w:p w14:paraId="04827EED" w14:textId="5287BBB0" w:rsidR="00E2163C" w:rsidRPr="00CA7B61" w:rsidRDefault="00FB267D" w:rsidP="00CA7B61">
            <w:pPr>
              <w:spacing w:before="0" w:after="0"/>
              <w:jc w:val="right"/>
              <w:rPr>
                <w:rFonts w:ascii="Calibri" w:hAnsi="Calibri" w:cs="Calibri"/>
                <w:b/>
                <w:sz w:val="18"/>
                <w:szCs w:val="18"/>
              </w:rPr>
            </w:pPr>
            <w:r w:rsidRPr="00CA7B61">
              <w:rPr>
                <w:rFonts w:ascii="Calibri" w:hAnsi="Calibri" w:cs="Calibri"/>
                <w:b/>
                <w:sz w:val="18"/>
                <w:szCs w:val="18"/>
              </w:rPr>
              <w:t xml:space="preserve"> 21 455 KNOK</w:t>
            </w:r>
          </w:p>
        </w:tc>
        <w:tc>
          <w:tcPr>
            <w:tcW w:w="1352" w:type="dxa"/>
          </w:tcPr>
          <w:p w14:paraId="1D4BEB4B" w14:textId="344CB503" w:rsidR="00E2163C" w:rsidRPr="00CA7B61" w:rsidRDefault="00FB267D" w:rsidP="00CA7B61">
            <w:pPr>
              <w:spacing w:before="0" w:after="0"/>
              <w:jc w:val="right"/>
              <w:rPr>
                <w:rFonts w:ascii="Calibri" w:hAnsi="Calibri" w:cs="Calibri"/>
                <w:b/>
                <w:sz w:val="18"/>
                <w:szCs w:val="18"/>
              </w:rPr>
            </w:pPr>
            <w:r w:rsidRPr="00CA7B61">
              <w:rPr>
                <w:rFonts w:ascii="Calibri" w:hAnsi="Calibri" w:cs="Calibri"/>
                <w:b/>
                <w:sz w:val="18"/>
                <w:szCs w:val="18"/>
              </w:rPr>
              <w:t>21 455 KNOK</w:t>
            </w:r>
          </w:p>
        </w:tc>
        <w:tc>
          <w:tcPr>
            <w:tcW w:w="1350" w:type="dxa"/>
            <w:shd w:val="clear" w:color="auto" w:fill="auto"/>
          </w:tcPr>
          <w:p w14:paraId="048E61A2" w14:textId="77777777" w:rsidR="00E2163C" w:rsidRPr="009872E2" w:rsidRDefault="00E2163C" w:rsidP="00BC0FFA">
            <w:pPr>
              <w:spacing w:before="0" w:after="0"/>
              <w:jc w:val="left"/>
              <w:rPr>
                <w:rFonts w:ascii="Calibri" w:hAnsi="Calibri" w:cs="Calibri"/>
                <w:b/>
                <w:sz w:val="18"/>
                <w:szCs w:val="18"/>
              </w:rPr>
            </w:pPr>
          </w:p>
        </w:tc>
        <w:tc>
          <w:tcPr>
            <w:tcW w:w="1296" w:type="dxa"/>
          </w:tcPr>
          <w:p w14:paraId="65443EF8" w14:textId="77777777" w:rsidR="00E2163C" w:rsidRPr="009872E2" w:rsidRDefault="00E2163C" w:rsidP="00BC0FFA">
            <w:pPr>
              <w:spacing w:before="0" w:after="0"/>
              <w:jc w:val="left"/>
              <w:rPr>
                <w:rFonts w:ascii="Calibri" w:hAnsi="Calibri" w:cs="Calibri"/>
                <w:b/>
                <w:sz w:val="18"/>
                <w:szCs w:val="18"/>
              </w:rPr>
            </w:pPr>
          </w:p>
        </w:tc>
      </w:tr>
    </w:tbl>
    <w:p w14:paraId="10F732AE" w14:textId="67C047E7" w:rsidR="00B4267E" w:rsidRDefault="00B4267E" w:rsidP="00B4267E">
      <w:pPr>
        <w:pStyle w:val="Default"/>
        <w:jc w:val="both"/>
        <w:rPr>
          <w:rFonts w:ascii="Arial" w:hAnsi="Arial" w:cs="Arial"/>
          <w:color w:val="17365D"/>
          <w:sz w:val="20"/>
          <w:szCs w:val="20"/>
        </w:rPr>
      </w:pPr>
    </w:p>
    <w:p w14:paraId="109560C9" w14:textId="07D2E17C" w:rsidR="00426A37" w:rsidRDefault="00426A37" w:rsidP="00B4267E">
      <w:pPr>
        <w:pStyle w:val="Default"/>
        <w:jc w:val="both"/>
        <w:rPr>
          <w:rFonts w:ascii="Arial" w:hAnsi="Arial" w:cs="Arial"/>
          <w:color w:val="17365D"/>
          <w:sz w:val="20"/>
          <w:szCs w:val="20"/>
        </w:rPr>
      </w:pPr>
    </w:p>
    <w:p w14:paraId="40210047" w14:textId="38F2EA3B" w:rsidR="00090261" w:rsidRDefault="00090261">
      <w:pPr>
        <w:spacing w:before="0" w:after="200" w:line="276" w:lineRule="auto"/>
        <w:jc w:val="left"/>
        <w:rPr>
          <w:rFonts w:ascii="Arial" w:eastAsia="Calibri" w:hAnsi="Arial" w:cs="Arial"/>
          <w:color w:val="17365D"/>
          <w:sz w:val="20"/>
          <w:szCs w:val="20"/>
        </w:rPr>
      </w:pPr>
      <w:r>
        <w:rPr>
          <w:rFonts w:ascii="Arial" w:hAnsi="Arial" w:cs="Arial"/>
          <w:color w:val="17365D"/>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57DE15EA" w14:textId="77777777" w:rsidTr="00090261">
        <w:tc>
          <w:tcPr>
            <w:tcW w:w="9060" w:type="dxa"/>
            <w:shd w:val="clear" w:color="auto" w:fill="C6D9F1"/>
          </w:tcPr>
          <w:p w14:paraId="765FE4EC" w14:textId="77777777" w:rsidR="00B4267E" w:rsidRPr="00CA5B88" w:rsidRDefault="00B4267E" w:rsidP="00BC0FFA">
            <w:pPr>
              <w:pStyle w:val="Default"/>
              <w:spacing w:before="60" w:after="60"/>
              <w:rPr>
                <w:rFonts w:ascii="Arial" w:hAnsi="Arial" w:cs="Arial"/>
                <w:b/>
                <w:color w:val="17365D"/>
                <w:sz w:val="20"/>
                <w:szCs w:val="20"/>
              </w:rPr>
            </w:pPr>
            <w:r>
              <w:rPr>
                <w:rFonts w:ascii="Arial" w:hAnsi="Arial" w:cs="Arial"/>
                <w:b/>
                <w:color w:val="17365D"/>
                <w:sz w:val="20"/>
                <w:szCs w:val="20"/>
              </w:rPr>
              <w:lastRenderedPageBreak/>
              <w:t>d</w:t>
            </w:r>
            <w:r w:rsidRPr="00CA5B88">
              <w:rPr>
                <w:rFonts w:ascii="Arial" w:hAnsi="Arial" w:cs="Arial"/>
                <w:b/>
                <w:color w:val="17365D"/>
                <w:sz w:val="20"/>
                <w:szCs w:val="20"/>
              </w:rPr>
              <w:t xml:space="preserve">) </w:t>
            </w:r>
            <w:r>
              <w:rPr>
                <w:rFonts w:ascii="Arial" w:hAnsi="Arial" w:cs="Arial"/>
                <w:b/>
                <w:color w:val="17365D"/>
                <w:sz w:val="20"/>
                <w:szCs w:val="20"/>
              </w:rPr>
              <w:t>J</w:t>
            </w:r>
            <w:r w:rsidRPr="005C630C">
              <w:rPr>
                <w:rFonts w:ascii="Arial" w:hAnsi="Arial" w:cs="Arial"/>
                <w:b/>
                <w:color w:val="17365D"/>
                <w:sz w:val="20"/>
                <w:szCs w:val="20"/>
              </w:rPr>
              <w:t>ustification of the difference between the determined and the actual costs of new and existing investments of the air navigation service providers, as well as the difference between the planned and the actual date of entry into operation of the fixed assets financed by those investments for each year of the reference period;</w:t>
            </w:r>
          </w:p>
        </w:tc>
      </w:tr>
    </w:tbl>
    <w:p w14:paraId="77EE3E0C" w14:textId="77777777" w:rsidR="00426A37" w:rsidRDefault="00426A37" w:rsidP="00B4267E">
      <w:pPr>
        <w:pStyle w:val="Default"/>
        <w:jc w:val="both"/>
        <w:rPr>
          <w:rFonts w:ascii="Arial" w:hAnsi="Arial" w:cs="Arial"/>
          <w:color w:val="17365D"/>
          <w:sz w:val="20"/>
          <w:szCs w:val="20"/>
        </w:rPr>
      </w:pPr>
    </w:p>
    <w:p w14:paraId="428EF29B" w14:textId="139D6AD5" w:rsidR="00CF3DB7" w:rsidRPr="006807C7" w:rsidRDefault="002D16A8" w:rsidP="00CF3DB7">
      <w:pPr>
        <w:pStyle w:val="Default"/>
        <w:jc w:val="both"/>
        <w:rPr>
          <w:rFonts w:ascii="Arial" w:hAnsi="Arial" w:cs="Arial"/>
          <w:color w:val="auto"/>
          <w:sz w:val="20"/>
          <w:szCs w:val="20"/>
        </w:rPr>
      </w:pPr>
      <w:r w:rsidRPr="006807C7">
        <w:rPr>
          <w:rFonts w:ascii="Arial" w:hAnsi="Arial" w:cs="Arial"/>
          <w:color w:val="auto"/>
          <w:sz w:val="20"/>
          <w:szCs w:val="20"/>
        </w:rPr>
        <w:t>In respect of calendar year 2020, this information is to be provided in the annual monitoring report (see section 4 of the RP3 monitoring template).</w:t>
      </w:r>
      <w:r w:rsidR="00CF3DB7" w:rsidRPr="006807C7">
        <w:rPr>
          <w:rFonts w:ascii="Arial" w:hAnsi="Arial" w:cs="Arial"/>
          <w:color w:val="auto"/>
          <w:sz w:val="20"/>
          <w:szCs w:val="20"/>
        </w:rPr>
        <w:t xml:space="preserve"> </w:t>
      </w:r>
    </w:p>
    <w:p w14:paraId="1253EBBE" w14:textId="77777777" w:rsidR="00F37F8B" w:rsidRDefault="00F37F8B" w:rsidP="00CF3DB7">
      <w:pPr>
        <w:pStyle w:val="Default"/>
        <w:jc w:val="both"/>
        <w:rPr>
          <w:rFonts w:ascii="Arial" w:hAnsi="Arial" w:cs="Arial"/>
          <w:color w:val="17365D"/>
          <w:sz w:val="20"/>
          <w:szCs w:val="20"/>
        </w:rPr>
      </w:pPr>
    </w:p>
    <w:p w14:paraId="2A20F358" w14:textId="77777777" w:rsidR="00B4267E" w:rsidRDefault="00B4267E" w:rsidP="00B4267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60"/>
      </w:tblGrid>
      <w:tr w:rsidR="00B4267E" w:rsidRPr="00CA5B88" w14:paraId="0517888E" w14:textId="77777777" w:rsidTr="00BC0FFA">
        <w:tc>
          <w:tcPr>
            <w:tcW w:w="9242" w:type="dxa"/>
            <w:shd w:val="clear" w:color="auto" w:fill="C6D9F1"/>
          </w:tcPr>
          <w:p w14:paraId="4D244FD5" w14:textId="77777777" w:rsidR="00B4267E" w:rsidRPr="00CA5B88" w:rsidRDefault="00B4267E" w:rsidP="00711220">
            <w:pPr>
              <w:pStyle w:val="Default"/>
              <w:spacing w:before="60" w:after="60"/>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w:t>
            </w:r>
            <w:r>
              <w:rPr>
                <w:rFonts w:ascii="Arial" w:hAnsi="Arial" w:cs="Arial"/>
                <w:b/>
                <w:color w:val="17365D"/>
                <w:sz w:val="20"/>
                <w:szCs w:val="20"/>
              </w:rPr>
              <w:t xml:space="preserve"> D</w:t>
            </w:r>
            <w:r w:rsidRPr="005C630C">
              <w:rPr>
                <w:rFonts w:ascii="Arial" w:hAnsi="Arial" w:cs="Arial"/>
                <w:b/>
                <w:color w:val="17365D"/>
                <w:sz w:val="20"/>
                <w:szCs w:val="20"/>
              </w:rPr>
              <w:t>escription of the investment projects added, cancelled or replaced during the reference period with respect to the major investment projects identified in the performance plan, and approved by the national supervisory authority in accordance with Article 28(4)</w:t>
            </w:r>
            <w:r>
              <w:rPr>
                <w:rFonts w:ascii="Arial" w:hAnsi="Arial" w:cs="Arial"/>
                <w:b/>
                <w:color w:val="17365D"/>
                <w:sz w:val="20"/>
                <w:szCs w:val="20"/>
              </w:rPr>
              <w:t>.</w:t>
            </w:r>
          </w:p>
        </w:tc>
      </w:tr>
    </w:tbl>
    <w:p w14:paraId="72DE71D2" w14:textId="77777777" w:rsidR="00B4267E" w:rsidRDefault="00B4267E" w:rsidP="00B4267E">
      <w:pPr>
        <w:pStyle w:val="Default"/>
        <w:jc w:val="both"/>
        <w:rPr>
          <w:rFonts w:ascii="Arial" w:hAnsi="Arial" w:cs="Arial"/>
          <w:color w:val="17365D"/>
          <w:sz w:val="20"/>
          <w:szCs w:val="20"/>
        </w:rPr>
      </w:pPr>
    </w:p>
    <w:p w14:paraId="6549D4E3" w14:textId="39E7C5A1" w:rsidR="00426A37" w:rsidRPr="006807C7" w:rsidRDefault="00682D4D" w:rsidP="00B4267E">
      <w:pPr>
        <w:pStyle w:val="Default"/>
        <w:jc w:val="both"/>
        <w:rPr>
          <w:rFonts w:ascii="Arial" w:hAnsi="Arial" w:cs="Arial"/>
          <w:color w:val="auto"/>
          <w:sz w:val="20"/>
          <w:szCs w:val="20"/>
        </w:rPr>
      </w:pPr>
      <w:r w:rsidRPr="006807C7">
        <w:rPr>
          <w:rFonts w:ascii="Arial" w:hAnsi="Arial" w:cs="Arial"/>
          <w:color w:val="auto"/>
          <w:sz w:val="20"/>
          <w:szCs w:val="20"/>
        </w:rPr>
        <w:t>In respect of calendar year 2020, this information is to be provided in the annual monitoring report (see section 4 of the RP3 monitoring template).</w:t>
      </w:r>
    </w:p>
    <w:p w14:paraId="4AB2A0F9" w14:textId="77777777" w:rsidR="00B4267E" w:rsidRDefault="00B4267E" w:rsidP="00B4267E">
      <w:pPr>
        <w:pStyle w:val="Default"/>
        <w:jc w:val="both"/>
        <w:rPr>
          <w:rFonts w:ascii="Arial" w:hAnsi="Arial" w:cs="Arial"/>
          <w:color w:val="17365D"/>
          <w:sz w:val="20"/>
          <w:szCs w:val="20"/>
        </w:rPr>
      </w:pPr>
    </w:p>
    <w:p w14:paraId="41D642BA" w14:textId="77777777" w:rsidR="00B4267E" w:rsidRDefault="00B4267E" w:rsidP="00B4267E">
      <w:pPr>
        <w:jc w:val="center"/>
        <w:rPr>
          <w:i/>
          <w:lang w:eastAsia="de-DE"/>
        </w:rPr>
      </w:pPr>
    </w:p>
    <w:p w14:paraId="53CAC458" w14:textId="77777777" w:rsidR="00B4267E" w:rsidRDefault="00B4267E" w:rsidP="00B4267E">
      <w:pPr>
        <w:pStyle w:val="Default"/>
        <w:jc w:val="both"/>
        <w:rPr>
          <w:rFonts w:ascii="Arial" w:hAnsi="Arial" w:cs="Arial"/>
          <w:color w:val="17365D"/>
          <w:sz w:val="20"/>
          <w:szCs w:val="20"/>
        </w:rPr>
      </w:pPr>
    </w:p>
    <w:p w14:paraId="24DB3797" w14:textId="77777777" w:rsidR="00B26C49" w:rsidRDefault="00B26C49">
      <w:pPr>
        <w:spacing w:before="0" w:after="200" w:line="276" w:lineRule="auto"/>
        <w:jc w:val="left"/>
        <w:rPr>
          <w:i/>
          <w:lang w:eastAsia="de-DE"/>
        </w:rPr>
      </w:pPr>
    </w:p>
    <w:p w14:paraId="08F06A9C" w14:textId="77777777" w:rsidR="00601109" w:rsidRDefault="00601109">
      <w:pPr>
        <w:spacing w:before="0" w:after="200" w:line="276" w:lineRule="auto"/>
        <w:jc w:val="left"/>
        <w:rPr>
          <w:i/>
          <w:lang w:eastAsia="de-DE"/>
        </w:rPr>
      </w:pPr>
      <w:r>
        <w:rPr>
          <w:i/>
          <w:lang w:eastAsia="de-DE"/>
        </w:rPr>
        <w:br w:type="page"/>
      </w:r>
    </w:p>
    <w:p w14:paraId="0A36927B" w14:textId="77777777" w:rsidR="001F08BE" w:rsidRDefault="001F08BE" w:rsidP="00B26C49">
      <w:pPr>
        <w:jc w:val="center"/>
        <w:rPr>
          <w:i/>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EC40E2" w14:paraId="506A3A11" w14:textId="77777777" w:rsidTr="001F08BE">
        <w:trPr>
          <w:trHeight w:val="396"/>
          <w:jc w:val="center"/>
        </w:trPr>
        <w:tc>
          <w:tcPr>
            <w:tcW w:w="9242" w:type="dxa"/>
            <w:shd w:val="clear" w:color="auto" w:fill="92D050"/>
            <w:vAlign w:val="center"/>
          </w:tcPr>
          <w:p w14:paraId="6A9E27D0" w14:textId="77777777" w:rsidR="001F08BE" w:rsidRPr="00EC40E2" w:rsidRDefault="001F08BE" w:rsidP="001F08BE">
            <w:pPr>
              <w:pStyle w:val="Default"/>
              <w:jc w:val="center"/>
              <w:rPr>
                <w:rFonts w:ascii="Arial" w:hAnsi="Arial" w:cs="Arial"/>
                <w:b/>
                <w:color w:val="17365D"/>
                <w:sz w:val="20"/>
                <w:szCs w:val="20"/>
              </w:rPr>
            </w:pPr>
            <w:r w:rsidRPr="00EC40E2">
              <w:rPr>
                <w:rFonts w:ascii="Arial" w:hAnsi="Arial" w:cs="Arial"/>
                <w:b/>
                <w:color w:val="17365D"/>
                <w:sz w:val="20"/>
                <w:szCs w:val="20"/>
              </w:rPr>
              <w:t>ADDITIONAL INFORMATION</w:t>
            </w:r>
            <w:r>
              <w:rPr>
                <w:rFonts w:ascii="Arial" w:hAnsi="Arial" w:cs="Arial"/>
                <w:b/>
                <w:color w:val="17365D"/>
                <w:sz w:val="20"/>
                <w:szCs w:val="20"/>
              </w:rPr>
              <w:t xml:space="preserve"> TO REPORTING TABLES 2</w:t>
            </w:r>
            <w:r w:rsidRPr="00EC40E2">
              <w:rPr>
                <w:rFonts w:ascii="Arial" w:hAnsi="Arial" w:cs="Arial"/>
                <w:b/>
                <w:color w:val="17365D"/>
                <w:sz w:val="20"/>
                <w:szCs w:val="20"/>
              </w:rPr>
              <w:t xml:space="preserve"> –</w:t>
            </w:r>
            <w:r>
              <w:rPr>
                <w:rFonts w:ascii="Arial" w:hAnsi="Arial" w:cs="Arial"/>
                <w:b/>
                <w:color w:val="17365D"/>
                <w:sz w:val="20"/>
                <w:szCs w:val="20"/>
              </w:rPr>
              <w:t xml:space="preserve"> UNIT RATE CALCULATION</w:t>
            </w:r>
          </w:p>
        </w:tc>
      </w:tr>
    </w:tbl>
    <w:p w14:paraId="16428069" w14:textId="77777777" w:rsidR="001F08BE" w:rsidRDefault="001F08BE" w:rsidP="001F08BE">
      <w:pPr>
        <w:pStyle w:val="Default"/>
        <w:jc w:val="both"/>
        <w:rPr>
          <w:rFonts w:ascii="Arial" w:hAnsi="Arial" w:cs="Arial"/>
          <w:color w:val="17365D"/>
          <w:sz w:val="20"/>
          <w:szCs w:val="20"/>
        </w:rPr>
      </w:pPr>
    </w:p>
    <w:p w14:paraId="1044F4A5"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3FEBCA63" w14:textId="77777777" w:rsidTr="001F08BE">
        <w:tc>
          <w:tcPr>
            <w:tcW w:w="9242" w:type="dxa"/>
            <w:shd w:val="clear" w:color="auto" w:fill="92D050"/>
          </w:tcPr>
          <w:p w14:paraId="406A0FC5" w14:textId="77777777" w:rsidR="001F08BE" w:rsidRPr="00CA5B88" w:rsidRDefault="001F08BE" w:rsidP="001F08BE">
            <w:pPr>
              <w:pStyle w:val="Default"/>
              <w:spacing w:before="60" w:after="60"/>
              <w:rPr>
                <w:rFonts w:ascii="Arial" w:hAnsi="Arial" w:cs="Arial"/>
                <w:b/>
                <w:color w:val="17365D"/>
                <w:sz w:val="20"/>
                <w:szCs w:val="20"/>
              </w:rPr>
            </w:pPr>
            <w:r>
              <w:rPr>
                <w:rFonts w:ascii="Arial" w:hAnsi="Arial" w:cs="Arial"/>
                <w:b/>
                <w:color w:val="17365D"/>
                <w:sz w:val="20"/>
                <w:szCs w:val="20"/>
              </w:rPr>
              <w:t>a) D</w:t>
            </w:r>
            <w:r w:rsidRPr="001F08BE">
              <w:rPr>
                <w:rFonts w:ascii="Arial" w:hAnsi="Arial" w:cs="Arial"/>
                <w:b/>
                <w:color w:val="17365D"/>
                <w:sz w:val="20"/>
                <w:szCs w:val="20"/>
              </w:rPr>
              <w:t>escription and rationale for establishment of the different charging zones, in particular with regard to terminal charging zones and potential cross-subsidies between charging zones;</w:t>
            </w:r>
          </w:p>
        </w:tc>
      </w:tr>
    </w:tbl>
    <w:p w14:paraId="53C01F4A" w14:textId="77777777" w:rsidR="001F08BE" w:rsidRDefault="001F08BE" w:rsidP="001F08BE">
      <w:pPr>
        <w:pStyle w:val="Default"/>
        <w:jc w:val="both"/>
        <w:rPr>
          <w:rFonts w:ascii="Arial" w:hAnsi="Arial" w:cs="Arial"/>
          <w:color w:val="17365D"/>
          <w:sz w:val="20"/>
          <w:szCs w:val="20"/>
        </w:rPr>
      </w:pPr>
    </w:p>
    <w:p w14:paraId="12AFC8DF" w14:textId="77777777" w:rsidR="009B47B3" w:rsidRDefault="009B47B3" w:rsidP="009B47B3">
      <w:pPr>
        <w:pStyle w:val="Default"/>
        <w:jc w:val="both"/>
        <w:rPr>
          <w:rFonts w:ascii="Arial" w:hAnsi="Arial" w:cs="Arial"/>
          <w:sz w:val="20"/>
          <w:szCs w:val="20"/>
        </w:rPr>
      </w:pPr>
      <w:r w:rsidRPr="008C5414">
        <w:rPr>
          <w:rFonts w:ascii="Arial" w:hAnsi="Arial" w:cs="Arial"/>
          <w:sz w:val="20"/>
          <w:szCs w:val="20"/>
        </w:rPr>
        <w:t>Norway has only one charging zone</w:t>
      </w:r>
      <w:r>
        <w:rPr>
          <w:rFonts w:ascii="Arial" w:hAnsi="Arial" w:cs="Arial"/>
          <w:sz w:val="20"/>
          <w:szCs w:val="20"/>
        </w:rPr>
        <w:t>.</w:t>
      </w:r>
    </w:p>
    <w:p w14:paraId="3CFC11F0" w14:textId="77777777" w:rsidR="007063B7" w:rsidRPr="00CA5B88" w:rsidRDefault="007063B7"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6124284C" w14:textId="77777777" w:rsidTr="002D6CCF">
        <w:tc>
          <w:tcPr>
            <w:tcW w:w="9242" w:type="dxa"/>
            <w:shd w:val="clear" w:color="auto" w:fill="92D050"/>
          </w:tcPr>
          <w:p w14:paraId="2D48E91F" w14:textId="77777777" w:rsidR="001F08BE" w:rsidRPr="00CA5B88" w:rsidRDefault="001F08BE" w:rsidP="001F08BE">
            <w:pPr>
              <w:pStyle w:val="Default"/>
              <w:spacing w:before="60" w:after="60"/>
              <w:jc w:val="both"/>
              <w:rPr>
                <w:rFonts w:ascii="Arial" w:hAnsi="Arial" w:cs="Arial"/>
                <w:b/>
                <w:color w:val="17365D"/>
                <w:sz w:val="20"/>
                <w:szCs w:val="20"/>
              </w:rPr>
            </w:pPr>
            <w:bookmarkStart w:id="3" w:name="_Hlk73476160"/>
            <w:r>
              <w:rPr>
                <w:rFonts w:ascii="Arial" w:hAnsi="Arial" w:cs="Arial"/>
                <w:b/>
                <w:color w:val="17365D"/>
                <w:sz w:val="20"/>
                <w:szCs w:val="20"/>
              </w:rPr>
              <w:t>b</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policy on exemptions and description of the financing means to cover the rel</w:t>
            </w:r>
            <w:r>
              <w:rPr>
                <w:rFonts w:ascii="Arial" w:hAnsi="Arial" w:cs="Arial"/>
                <w:b/>
                <w:color w:val="17365D"/>
                <w:sz w:val="20"/>
                <w:szCs w:val="20"/>
              </w:rPr>
              <w:t>ated costs</w:t>
            </w:r>
            <w:r w:rsidRPr="00556F7D">
              <w:rPr>
                <w:rFonts w:ascii="Arial" w:hAnsi="Arial" w:cs="Arial"/>
                <w:b/>
                <w:color w:val="17365D"/>
                <w:sz w:val="20"/>
                <w:szCs w:val="20"/>
              </w:rPr>
              <w:t>;</w:t>
            </w:r>
          </w:p>
        </w:tc>
      </w:tr>
    </w:tbl>
    <w:p w14:paraId="7CE28DE2" w14:textId="587F121D" w:rsidR="00682D4D" w:rsidRDefault="00682D4D" w:rsidP="00F424DF">
      <w:pPr>
        <w:pStyle w:val="Default"/>
        <w:jc w:val="both"/>
        <w:rPr>
          <w:rFonts w:ascii="Arial" w:hAnsi="Arial" w:cs="Arial"/>
          <w:color w:val="17365D"/>
          <w:sz w:val="20"/>
          <w:szCs w:val="20"/>
        </w:rPr>
      </w:pPr>
    </w:p>
    <w:p w14:paraId="184D3C18" w14:textId="2CD74B30" w:rsidR="002D75D6" w:rsidRPr="00485A1F" w:rsidRDefault="002D75D6" w:rsidP="002D75D6">
      <w:pPr>
        <w:pStyle w:val="Default"/>
        <w:jc w:val="both"/>
        <w:rPr>
          <w:rFonts w:ascii="Arial" w:hAnsi="Arial" w:cs="Arial"/>
          <w:color w:val="auto"/>
          <w:sz w:val="20"/>
          <w:szCs w:val="20"/>
        </w:rPr>
      </w:pPr>
      <w:r w:rsidRPr="00485A1F">
        <w:rPr>
          <w:rFonts w:ascii="Arial" w:hAnsi="Arial" w:cs="Arial"/>
          <w:color w:val="auto"/>
          <w:sz w:val="20"/>
          <w:szCs w:val="20"/>
        </w:rPr>
        <w:t xml:space="preserve">Exempted flights constitute approximately 1% of total service units. The cost of exemptions is financed through commercial income in the </w:t>
      </w:r>
      <w:proofErr w:type="spellStart"/>
      <w:r w:rsidRPr="00485A1F">
        <w:rPr>
          <w:rFonts w:ascii="Arial" w:hAnsi="Arial" w:cs="Arial"/>
          <w:color w:val="auto"/>
          <w:sz w:val="20"/>
          <w:szCs w:val="20"/>
        </w:rPr>
        <w:t>Avinor</w:t>
      </w:r>
      <w:proofErr w:type="spellEnd"/>
      <w:r w:rsidRPr="00485A1F">
        <w:rPr>
          <w:rFonts w:ascii="Arial" w:hAnsi="Arial" w:cs="Arial"/>
          <w:color w:val="auto"/>
          <w:sz w:val="20"/>
          <w:szCs w:val="20"/>
        </w:rPr>
        <w:t xml:space="preserve"> Group.</w:t>
      </w:r>
    </w:p>
    <w:p w14:paraId="629A69D8" w14:textId="58DB718A" w:rsidR="00675B65" w:rsidRPr="00485A1F" w:rsidRDefault="00675B65" w:rsidP="002D75D6">
      <w:pPr>
        <w:pStyle w:val="Default"/>
        <w:jc w:val="both"/>
        <w:rPr>
          <w:rFonts w:ascii="Arial" w:hAnsi="Arial" w:cs="Arial"/>
          <w:color w:val="auto"/>
          <w:sz w:val="20"/>
          <w:szCs w:val="20"/>
        </w:rPr>
      </w:pPr>
    </w:p>
    <w:p w14:paraId="0528D162" w14:textId="1E6716C1" w:rsidR="00675B65" w:rsidRPr="00485A1F" w:rsidRDefault="00675B65" w:rsidP="00675B65">
      <w:pPr>
        <w:pStyle w:val="Default"/>
        <w:jc w:val="both"/>
        <w:rPr>
          <w:rFonts w:ascii="Arial" w:hAnsi="Arial" w:cs="Arial"/>
          <w:color w:val="auto"/>
          <w:sz w:val="20"/>
        </w:rPr>
      </w:pPr>
      <w:r w:rsidRPr="00485A1F">
        <w:rPr>
          <w:rFonts w:ascii="Arial" w:hAnsi="Arial" w:cs="Arial"/>
          <w:color w:val="auto"/>
          <w:sz w:val="20"/>
          <w:szCs w:val="20"/>
        </w:rPr>
        <w:t>Exempted flights are specific dignitary flights, flights by aircraft less than 2 tons, SAR, calibration flights, circular flights, VFR</w:t>
      </w:r>
      <w:r w:rsidR="00485A1F" w:rsidRPr="004C4B2D">
        <w:rPr>
          <w:rFonts w:ascii="Arial" w:hAnsi="Arial" w:cs="Arial"/>
          <w:color w:val="auto"/>
          <w:sz w:val="20"/>
          <w:szCs w:val="20"/>
        </w:rPr>
        <w:t>,</w:t>
      </w:r>
      <w:r w:rsidR="00466BBE">
        <w:rPr>
          <w:rFonts w:ascii="Arial" w:hAnsi="Arial" w:cs="Arial"/>
          <w:color w:val="auto"/>
          <w:sz w:val="20"/>
          <w:szCs w:val="20"/>
        </w:rPr>
        <w:t xml:space="preserve"> </w:t>
      </w:r>
      <w:r w:rsidRPr="00485A1F">
        <w:rPr>
          <w:rFonts w:ascii="Arial" w:hAnsi="Arial" w:cs="Arial"/>
          <w:color w:val="auto"/>
          <w:sz w:val="20"/>
          <w:szCs w:val="20"/>
        </w:rPr>
        <w:t>humanitarian flights</w:t>
      </w:r>
      <w:r w:rsidR="00485A1F" w:rsidRPr="004C4B2D">
        <w:rPr>
          <w:rFonts w:ascii="Arial" w:hAnsi="Arial" w:cs="Arial"/>
          <w:color w:val="auto"/>
          <w:sz w:val="20"/>
          <w:szCs w:val="20"/>
        </w:rPr>
        <w:t xml:space="preserve"> and flights to and from Svalbard</w:t>
      </w:r>
      <w:r w:rsidRPr="00485A1F">
        <w:rPr>
          <w:rFonts w:ascii="Arial" w:hAnsi="Arial" w:cs="Arial"/>
          <w:color w:val="auto"/>
          <w:sz w:val="20"/>
          <w:szCs w:val="20"/>
        </w:rPr>
        <w:t xml:space="preserve">. </w:t>
      </w:r>
      <w:r w:rsidRPr="00485A1F">
        <w:rPr>
          <w:rFonts w:ascii="Arial" w:hAnsi="Arial" w:cs="Arial"/>
          <w:color w:val="auto"/>
          <w:sz w:val="20"/>
        </w:rPr>
        <w:t xml:space="preserve">Exempted flights are covered by </w:t>
      </w:r>
      <w:proofErr w:type="spellStart"/>
      <w:r w:rsidRPr="00485A1F">
        <w:rPr>
          <w:rFonts w:ascii="Arial" w:hAnsi="Arial" w:cs="Arial"/>
          <w:color w:val="auto"/>
          <w:sz w:val="20"/>
        </w:rPr>
        <w:t>Avinor</w:t>
      </w:r>
      <w:proofErr w:type="spellEnd"/>
      <w:r w:rsidRPr="00485A1F">
        <w:rPr>
          <w:rFonts w:ascii="Arial" w:hAnsi="Arial" w:cs="Arial"/>
          <w:color w:val="auto"/>
          <w:sz w:val="20"/>
        </w:rPr>
        <w:t xml:space="preserve"> AS through commercial revenue based on invoices from </w:t>
      </w:r>
      <w:proofErr w:type="spellStart"/>
      <w:r w:rsidRPr="00485A1F">
        <w:rPr>
          <w:rFonts w:ascii="Arial" w:hAnsi="Arial" w:cs="Arial"/>
          <w:color w:val="auto"/>
          <w:sz w:val="20"/>
        </w:rPr>
        <w:t>Avinor</w:t>
      </w:r>
      <w:proofErr w:type="spellEnd"/>
      <w:r w:rsidRPr="00485A1F">
        <w:rPr>
          <w:rFonts w:ascii="Arial" w:hAnsi="Arial" w:cs="Arial"/>
          <w:color w:val="auto"/>
          <w:sz w:val="20"/>
        </w:rPr>
        <w:t xml:space="preserve"> ANS according to the national regulations.</w:t>
      </w:r>
    </w:p>
    <w:p w14:paraId="585805C5" w14:textId="77777777" w:rsidR="00B97D92" w:rsidRPr="004C4B2D" w:rsidRDefault="00B97D92" w:rsidP="00675B65">
      <w:pPr>
        <w:pStyle w:val="Default"/>
        <w:jc w:val="both"/>
        <w:rPr>
          <w:rFonts w:ascii="Arial" w:hAnsi="Arial" w:cs="Arial"/>
          <w:color w:val="auto"/>
          <w:sz w:val="20"/>
          <w:highlight w:val="yellow"/>
        </w:rPr>
      </w:pPr>
    </w:p>
    <w:p w14:paraId="09F55CF8" w14:textId="7EC1A2CE" w:rsidR="00675B65" w:rsidRDefault="00675B65" w:rsidP="00675B65">
      <w:pPr>
        <w:pStyle w:val="Default"/>
        <w:jc w:val="both"/>
        <w:rPr>
          <w:rFonts w:ascii="Arial" w:hAnsi="Arial" w:cs="Arial"/>
          <w:color w:val="auto"/>
          <w:sz w:val="20"/>
        </w:rPr>
      </w:pPr>
      <w:proofErr w:type="spellStart"/>
      <w:r w:rsidRPr="00485A1F">
        <w:rPr>
          <w:rFonts w:ascii="Arial" w:hAnsi="Arial" w:cs="Arial"/>
          <w:color w:val="auto"/>
          <w:sz w:val="20"/>
        </w:rPr>
        <w:t>Avinor</w:t>
      </w:r>
      <w:proofErr w:type="spellEnd"/>
      <w:r w:rsidRPr="00485A1F">
        <w:rPr>
          <w:rFonts w:ascii="Arial" w:hAnsi="Arial" w:cs="Arial"/>
          <w:color w:val="auto"/>
          <w:sz w:val="20"/>
        </w:rPr>
        <w:t xml:space="preserve"> ANS provides </w:t>
      </w:r>
      <w:proofErr w:type="spellStart"/>
      <w:r w:rsidRPr="00485A1F">
        <w:rPr>
          <w:rFonts w:ascii="Arial" w:hAnsi="Arial" w:cs="Arial"/>
          <w:color w:val="auto"/>
          <w:sz w:val="20"/>
        </w:rPr>
        <w:t>en</w:t>
      </w:r>
      <w:proofErr w:type="spellEnd"/>
      <w:r w:rsidRPr="00485A1F">
        <w:rPr>
          <w:rFonts w:ascii="Arial" w:hAnsi="Arial" w:cs="Arial"/>
          <w:color w:val="auto"/>
          <w:sz w:val="20"/>
        </w:rPr>
        <w:t>-route and approach services for all military activity. These include separation of military and civil flights, planning and service provision during military exercises, advisory services</w:t>
      </w:r>
      <w:r w:rsidR="00485A1F">
        <w:rPr>
          <w:rFonts w:ascii="Arial" w:hAnsi="Arial" w:cs="Arial"/>
          <w:color w:val="auto"/>
          <w:sz w:val="20"/>
        </w:rPr>
        <w:t xml:space="preserve"> and</w:t>
      </w:r>
      <w:r w:rsidRPr="00485A1F">
        <w:rPr>
          <w:rFonts w:ascii="Arial" w:hAnsi="Arial" w:cs="Arial"/>
          <w:color w:val="auto"/>
          <w:sz w:val="20"/>
        </w:rPr>
        <w:t xml:space="preserve"> airspace design. These costs are covered through the </w:t>
      </w:r>
      <w:proofErr w:type="spellStart"/>
      <w:r w:rsidRPr="00485A1F">
        <w:rPr>
          <w:rFonts w:ascii="Arial" w:hAnsi="Arial" w:cs="Arial"/>
          <w:color w:val="auto"/>
          <w:sz w:val="20"/>
        </w:rPr>
        <w:t>en</w:t>
      </w:r>
      <w:proofErr w:type="spellEnd"/>
      <w:r w:rsidRPr="00485A1F">
        <w:rPr>
          <w:rFonts w:ascii="Arial" w:hAnsi="Arial" w:cs="Arial"/>
          <w:color w:val="auto"/>
          <w:sz w:val="20"/>
        </w:rPr>
        <w:t>-route cost base from RP3.</w:t>
      </w:r>
    </w:p>
    <w:p w14:paraId="658FA1E2" w14:textId="7AD2113F" w:rsidR="00585EA9" w:rsidRDefault="00585EA9" w:rsidP="00675B65">
      <w:pPr>
        <w:pStyle w:val="Default"/>
        <w:jc w:val="both"/>
        <w:rPr>
          <w:rFonts w:ascii="Arial" w:hAnsi="Arial" w:cs="Arial"/>
          <w:color w:val="auto"/>
          <w:sz w:val="20"/>
        </w:rPr>
      </w:pPr>
    </w:p>
    <w:p w14:paraId="1AD6F7A1" w14:textId="77777777" w:rsidR="00585EA9" w:rsidRPr="00B97D92" w:rsidRDefault="00585EA9" w:rsidP="00585EA9">
      <w:pPr>
        <w:pStyle w:val="Default"/>
        <w:rPr>
          <w:rFonts w:ascii="Arial" w:hAnsi="Arial" w:cs="Arial"/>
          <w:color w:val="auto"/>
          <w:sz w:val="20"/>
          <w:szCs w:val="20"/>
        </w:rPr>
      </w:pPr>
      <w:r w:rsidRPr="00B97D92">
        <w:rPr>
          <w:rFonts w:ascii="Arial" w:hAnsi="Arial" w:cs="Arial"/>
          <w:color w:val="auto"/>
          <w:sz w:val="20"/>
          <w:szCs w:val="20"/>
        </w:rPr>
        <w:t>Actual costs incurred in relation to services to flights exempted from ANS charges (pursuant to Article 31(3) to (5) and Article 22(6) of Implementing Regulation (EU) 2019/317) in the charging zone in 2020.</w:t>
      </w:r>
    </w:p>
    <w:p w14:paraId="43E68AEB" w14:textId="77777777" w:rsidR="00585EA9" w:rsidRPr="00B97D92" w:rsidRDefault="00585EA9" w:rsidP="00585EA9">
      <w:pPr>
        <w:pStyle w:val="Default"/>
        <w:rPr>
          <w:rFonts w:ascii="Arial" w:hAnsi="Arial" w:cs="Arial"/>
          <w:color w:val="auto"/>
          <w:sz w:val="20"/>
          <w:szCs w:val="20"/>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585EA9" w:rsidRPr="006807C7" w14:paraId="00DB138E" w14:textId="77777777" w:rsidTr="00466BBE">
        <w:tc>
          <w:tcPr>
            <w:tcW w:w="3857" w:type="dxa"/>
            <w:shd w:val="clear" w:color="auto" w:fill="auto"/>
            <w:vAlign w:val="bottom"/>
          </w:tcPr>
          <w:p w14:paraId="7E6C3262" w14:textId="77777777" w:rsidR="00585EA9" w:rsidRPr="00B97D92" w:rsidRDefault="00585EA9" w:rsidP="00466BBE">
            <w:pPr>
              <w:spacing w:before="40" w:after="40"/>
              <w:jc w:val="center"/>
              <w:rPr>
                <w:rFonts w:ascii="Calibri" w:hAnsi="Calibri" w:cs="Calibri"/>
                <w:b/>
                <w:sz w:val="18"/>
                <w:szCs w:val="18"/>
              </w:rPr>
            </w:pPr>
          </w:p>
        </w:tc>
        <w:tc>
          <w:tcPr>
            <w:tcW w:w="4961" w:type="dxa"/>
          </w:tcPr>
          <w:p w14:paraId="17D5D1B7" w14:textId="77777777" w:rsidR="00585EA9" w:rsidRPr="006807C7" w:rsidRDefault="00585EA9" w:rsidP="00466BBE">
            <w:pPr>
              <w:pStyle w:val="Default"/>
              <w:spacing w:before="40" w:after="40"/>
              <w:jc w:val="center"/>
              <w:rPr>
                <w:rFonts w:ascii="Arial" w:hAnsi="Arial" w:cs="Arial"/>
                <w:b/>
                <w:color w:val="auto"/>
                <w:sz w:val="18"/>
                <w:szCs w:val="18"/>
              </w:rPr>
            </w:pPr>
            <w:r w:rsidRPr="006807C7">
              <w:rPr>
                <w:rFonts w:ascii="Arial" w:hAnsi="Arial" w:cs="Arial"/>
                <w:b/>
                <w:color w:val="auto"/>
                <w:sz w:val="18"/>
                <w:szCs w:val="18"/>
              </w:rPr>
              <w:t>2020</w:t>
            </w:r>
          </w:p>
        </w:tc>
      </w:tr>
      <w:tr w:rsidR="00585EA9" w:rsidRPr="006807C7" w14:paraId="48BE81D8" w14:textId="77777777" w:rsidTr="00466BBE">
        <w:tc>
          <w:tcPr>
            <w:tcW w:w="3857" w:type="dxa"/>
            <w:shd w:val="clear" w:color="auto" w:fill="auto"/>
            <w:vAlign w:val="bottom"/>
          </w:tcPr>
          <w:p w14:paraId="6F89D94B" w14:textId="77777777" w:rsidR="00585EA9" w:rsidRPr="006807C7" w:rsidRDefault="00585EA9" w:rsidP="00466BBE">
            <w:pPr>
              <w:spacing w:before="40" w:after="40"/>
              <w:jc w:val="left"/>
              <w:rPr>
                <w:rFonts w:ascii="Arial" w:eastAsia="Calibri" w:hAnsi="Arial" w:cs="Arial"/>
                <w:sz w:val="18"/>
                <w:szCs w:val="18"/>
              </w:rPr>
            </w:pPr>
            <w:r w:rsidRPr="006807C7">
              <w:rPr>
                <w:rFonts w:ascii="Arial" w:eastAsia="Calibri" w:hAnsi="Arial" w:cs="Arial"/>
                <w:sz w:val="18"/>
                <w:szCs w:val="18"/>
              </w:rPr>
              <w:t>Costs for exempted VFR flights</w:t>
            </w:r>
          </w:p>
        </w:tc>
        <w:tc>
          <w:tcPr>
            <w:tcW w:w="4961" w:type="dxa"/>
          </w:tcPr>
          <w:p w14:paraId="1662009F" w14:textId="7E6D0E65" w:rsidR="00585EA9" w:rsidRPr="00466BBE" w:rsidRDefault="00585EA9" w:rsidP="00466BBE">
            <w:pPr>
              <w:pStyle w:val="Default"/>
              <w:spacing w:before="40" w:after="40"/>
              <w:jc w:val="both"/>
              <w:rPr>
                <w:rFonts w:ascii="Arial" w:hAnsi="Arial" w:cs="Arial"/>
                <w:color w:val="auto"/>
                <w:sz w:val="18"/>
                <w:szCs w:val="18"/>
              </w:rPr>
            </w:pPr>
            <w:r w:rsidRPr="00466BBE">
              <w:rPr>
                <w:rFonts w:ascii="Arial" w:hAnsi="Arial" w:cs="Arial"/>
                <w:color w:val="auto"/>
                <w:sz w:val="18"/>
                <w:szCs w:val="18"/>
              </w:rPr>
              <w:t>1 1</w:t>
            </w:r>
            <w:r w:rsidR="00605BFE">
              <w:rPr>
                <w:rFonts w:ascii="Arial" w:hAnsi="Arial" w:cs="Arial"/>
                <w:color w:val="auto"/>
                <w:sz w:val="18"/>
                <w:szCs w:val="18"/>
              </w:rPr>
              <w:t>25</w:t>
            </w:r>
            <w:r w:rsidRPr="00466BBE">
              <w:rPr>
                <w:rFonts w:ascii="Arial" w:hAnsi="Arial" w:cs="Arial"/>
                <w:color w:val="auto"/>
                <w:sz w:val="18"/>
                <w:szCs w:val="18"/>
              </w:rPr>
              <w:t xml:space="preserve"> KNOK</w:t>
            </w:r>
          </w:p>
        </w:tc>
      </w:tr>
      <w:tr w:rsidR="00585EA9" w:rsidRPr="006807C7" w14:paraId="015DF932" w14:textId="77777777" w:rsidTr="00466BBE">
        <w:trPr>
          <w:trHeight w:val="204"/>
        </w:trPr>
        <w:tc>
          <w:tcPr>
            <w:tcW w:w="3857" w:type="dxa"/>
            <w:shd w:val="clear" w:color="auto" w:fill="auto"/>
            <w:vAlign w:val="bottom"/>
          </w:tcPr>
          <w:p w14:paraId="4F880A25" w14:textId="77777777" w:rsidR="00585EA9" w:rsidRPr="006807C7" w:rsidRDefault="00585EA9" w:rsidP="00466BBE">
            <w:pPr>
              <w:spacing w:before="40" w:after="40"/>
              <w:jc w:val="left"/>
              <w:rPr>
                <w:rFonts w:ascii="Arial" w:eastAsia="Calibri" w:hAnsi="Arial" w:cs="Arial"/>
                <w:sz w:val="18"/>
                <w:szCs w:val="18"/>
              </w:rPr>
            </w:pPr>
            <w:r w:rsidRPr="006807C7">
              <w:rPr>
                <w:rFonts w:ascii="Arial" w:eastAsia="Calibri" w:hAnsi="Arial" w:cs="Arial"/>
                <w:sz w:val="18"/>
                <w:szCs w:val="18"/>
              </w:rPr>
              <w:t>Costs for exempted IFR flights</w:t>
            </w:r>
          </w:p>
        </w:tc>
        <w:tc>
          <w:tcPr>
            <w:tcW w:w="4961" w:type="dxa"/>
          </w:tcPr>
          <w:p w14:paraId="30F9FCA4" w14:textId="7D6C0C39" w:rsidR="00585EA9" w:rsidRPr="006807C7" w:rsidRDefault="00585EA9" w:rsidP="00466BBE">
            <w:pPr>
              <w:spacing w:before="40" w:after="40"/>
              <w:jc w:val="left"/>
              <w:rPr>
                <w:rFonts w:ascii="Calibri" w:hAnsi="Calibri" w:cs="Calibri"/>
                <w:sz w:val="18"/>
                <w:szCs w:val="18"/>
              </w:rPr>
            </w:pPr>
          </w:p>
        </w:tc>
      </w:tr>
      <w:tr w:rsidR="00585EA9" w:rsidRPr="006807C7" w14:paraId="552ACD95" w14:textId="77777777" w:rsidTr="00466BBE">
        <w:tc>
          <w:tcPr>
            <w:tcW w:w="3857" w:type="dxa"/>
            <w:shd w:val="clear" w:color="auto" w:fill="auto"/>
            <w:vAlign w:val="bottom"/>
          </w:tcPr>
          <w:p w14:paraId="0D2DAFEF" w14:textId="77777777" w:rsidR="00585EA9" w:rsidRPr="006807C7" w:rsidRDefault="00585EA9" w:rsidP="00466BBE">
            <w:pPr>
              <w:spacing w:before="40" w:after="40"/>
              <w:jc w:val="left"/>
              <w:rPr>
                <w:rFonts w:ascii="Arial" w:eastAsia="Calibri" w:hAnsi="Arial" w:cs="Arial"/>
                <w:b/>
                <w:sz w:val="18"/>
                <w:szCs w:val="18"/>
              </w:rPr>
            </w:pPr>
            <w:r w:rsidRPr="006807C7">
              <w:rPr>
                <w:rFonts w:ascii="Arial" w:eastAsia="Calibri" w:hAnsi="Arial" w:cs="Arial"/>
                <w:b/>
                <w:sz w:val="18"/>
                <w:szCs w:val="18"/>
              </w:rPr>
              <w:t>Total costs for exempted flights</w:t>
            </w:r>
          </w:p>
        </w:tc>
        <w:tc>
          <w:tcPr>
            <w:tcW w:w="4961" w:type="dxa"/>
          </w:tcPr>
          <w:p w14:paraId="2CC32337" w14:textId="0CE6B0A0" w:rsidR="00585EA9" w:rsidRPr="006807C7" w:rsidRDefault="00585EA9" w:rsidP="00466BBE">
            <w:pPr>
              <w:pStyle w:val="Default"/>
              <w:spacing w:before="40" w:after="40"/>
              <w:rPr>
                <w:b/>
                <w:bCs/>
                <w:iCs/>
                <w:color w:val="auto"/>
                <w:sz w:val="18"/>
                <w:szCs w:val="18"/>
              </w:rPr>
            </w:pPr>
          </w:p>
        </w:tc>
      </w:tr>
    </w:tbl>
    <w:p w14:paraId="661DB218" w14:textId="77777777" w:rsidR="00585EA9" w:rsidRPr="006807C7" w:rsidRDefault="00585EA9" w:rsidP="00585EA9">
      <w:pPr>
        <w:pStyle w:val="Default"/>
        <w:rPr>
          <w:rFonts w:ascii="Arial" w:hAnsi="Arial" w:cs="Arial"/>
          <w:color w:val="auto"/>
          <w:sz w:val="20"/>
          <w:szCs w:val="20"/>
        </w:rPr>
      </w:pPr>
    </w:p>
    <w:p w14:paraId="1C462687" w14:textId="77777777" w:rsidR="00585EA9" w:rsidRPr="006807C7" w:rsidRDefault="00585EA9" w:rsidP="00585EA9">
      <w:pPr>
        <w:pStyle w:val="Default"/>
        <w:jc w:val="both"/>
        <w:rPr>
          <w:rFonts w:ascii="Arial" w:hAnsi="Arial" w:cs="Arial"/>
          <w:color w:val="auto"/>
          <w:sz w:val="20"/>
          <w:szCs w:val="20"/>
        </w:rPr>
      </w:pPr>
    </w:p>
    <w:p w14:paraId="4A40BA6C" w14:textId="77777777" w:rsidR="00585EA9" w:rsidRPr="006807C7" w:rsidRDefault="00585EA9" w:rsidP="00585EA9">
      <w:pPr>
        <w:pStyle w:val="Default"/>
        <w:rPr>
          <w:rFonts w:ascii="Arial" w:hAnsi="Arial" w:cs="Arial"/>
          <w:color w:val="auto"/>
          <w:sz w:val="20"/>
          <w:szCs w:val="20"/>
        </w:rPr>
      </w:pPr>
      <w:r w:rsidRPr="006807C7">
        <w:rPr>
          <w:rFonts w:ascii="Arial" w:hAnsi="Arial" w:cs="Arial"/>
          <w:color w:val="auto"/>
          <w:sz w:val="20"/>
          <w:szCs w:val="20"/>
        </w:rPr>
        <w:t>Costs planned in relation to services to flights exempted from ANS charges (pursuant to Article 31(3) to (5) and Article 22(6) of Implementing Regulation (EU) 2019/317) in the charging zone in 2021.</w:t>
      </w:r>
    </w:p>
    <w:p w14:paraId="303C8F9C" w14:textId="77777777" w:rsidR="00585EA9" w:rsidRPr="006807C7" w:rsidRDefault="00585EA9" w:rsidP="00585EA9">
      <w:pPr>
        <w:pStyle w:val="Default"/>
        <w:rPr>
          <w:rFonts w:ascii="Arial" w:hAnsi="Arial" w:cs="Arial"/>
          <w:color w:val="auto"/>
          <w:sz w:val="20"/>
          <w:szCs w:val="20"/>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961"/>
      </w:tblGrid>
      <w:tr w:rsidR="00585EA9" w:rsidRPr="006807C7" w14:paraId="5C902BF2" w14:textId="77777777" w:rsidTr="00466BBE">
        <w:tc>
          <w:tcPr>
            <w:tcW w:w="3857" w:type="dxa"/>
            <w:shd w:val="clear" w:color="auto" w:fill="auto"/>
            <w:vAlign w:val="bottom"/>
          </w:tcPr>
          <w:p w14:paraId="1E5E2D5D" w14:textId="77777777" w:rsidR="00585EA9" w:rsidRPr="006807C7" w:rsidRDefault="00585EA9" w:rsidP="00466BBE">
            <w:pPr>
              <w:spacing w:before="40" w:after="40"/>
              <w:jc w:val="center"/>
              <w:rPr>
                <w:rFonts w:ascii="Calibri" w:hAnsi="Calibri" w:cs="Calibri"/>
                <w:b/>
                <w:sz w:val="18"/>
                <w:szCs w:val="18"/>
              </w:rPr>
            </w:pPr>
          </w:p>
        </w:tc>
        <w:tc>
          <w:tcPr>
            <w:tcW w:w="4961" w:type="dxa"/>
          </w:tcPr>
          <w:p w14:paraId="1DFF0C86" w14:textId="77777777" w:rsidR="00585EA9" w:rsidRPr="006807C7" w:rsidRDefault="00585EA9" w:rsidP="00466BBE">
            <w:pPr>
              <w:pStyle w:val="Default"/>
              <w:spacing w:before="40" w:after="40"/>
              <w:jc w:val="center"/>
              <w:rPr>
                <w:rFonts w:ascii="Arial" w:hAnsi="Arial" w:cs="Arial"/>
                <w:b/>
                <w:color w:val="auto"/>
                <w:sz w:val="18"/>
                <w:szCs w:val="18"/>
              </w:rPr>
            </w:pPr>
            <w:r w:rsidRPr="006807C7">
              <w:rPr>
                <w:rFonts w:ascii="Arial" w:hAnsi="Arial" w:cs="Arial"/>
                <w:b/>
                <w:color w:val="auto"/>
                <w:sz w:val="18"/>
                <w:szCs w:val="18"/>
              </w:rPr>
              <w:t>2021</w:t>
            </w:r>
          </w:p>
        </w:tc>
      </w:tr>
      <w:tr w:rsidR="00585EA9" w:rsidRPr="006807C7" w14:paraId="4535C578" w14:textId="77777777" w:rsidTr="00466BBE">
        <w:tc>
          <w:tcPr>
            <w:tcW w:w="3857" w:type="dxa"/>
            <w:shd w:val="clear" w:color="auto" w:fill="auto"/>
            <w:vAlign w:val="bottom"/>
          </w:tcPr>
          <w:p w14:paraId="21F2D6C1" w14:textId="77777777" w:rsidR="00585EA9" w:rsidRPr="006807C7" w:rsidRDefault="00585EA9" w:rsidP="00466BBE">
            <w:pPr>
              <w:spacing w:before="40" w:after="40"/>
              <w:jc w:val="left"/>
              <w:rPr>
                <w:rFonts w:ascii="Arial" w:eastAsia="Calibri" w:hAnsi="Arial" w:cs="Arial"/>
                <w:sz w:val="18"/>
                <w:szCs w:val="18"/>
              </w:rPr>
            </w:pPr>
            <w:r w:rsidRPr="006807C7">
              <w:rPr>
                <w:rFonts w:ascii="Arial" w:eastAsia="Calibri" w:hAnsi="Arial" w:cs="Arial"/>
                <w:sz w:val="18"/>
                <w:szCs w:val="18"/>
              </w:rPr>
              <w:t>Costs for exempted VFR flights</w:t>
            </w:r>
          </w:p>
        </w:tc>
        <w:tc>
          <w:tcPr>
            <w:tcW w:w="4961" w:type="dxa"/>
          </w:tcPr>
          <w:p w14:paraId="7C257CE8" w14:textId="4B5759C4" w:rsidR="00585EA9" w:rsidRPr="006807C7" w:rsidRDefault="00585EA9" w:rsidP="00466BBE">
            <w:pPr>
              <w:pStyle w:val="Default"/>
              <w:spacing w:before="40" w:after="40"/>
              <w:jc w:val="both"/>
              <w:rPr>
                <w:bCs/>
                <w:iCs/>
                <w:color w:val="auto"/>
                <w:sz w:val="18"/>
                <w:szCs w:val="18"/>
              </w:rPr>
            </w:pPr>
            <w:r w:rsidRPr="00466BBE">
              <w:rPr>
                <w:rFonts w:ascii="Arial" w:hAnsi="Arial" w:cs="Arial"/>
                <w:color w:val="auto"/>
                <w:sz w:val="18"/>
                <w:szCs w:val="18"/>
              </w:rPr>
              <w:t>1</w:t>
            </w:r>
            <w:r w:rsidR="00466BBE">
              <w:rPr>
                <w:rFonts w:ascii="Arial" w:hAnsi="Arial" w:cs="Arial"/>
                <w:color w:val="auto"/>
                <w:sz w:val="18"/>
                <w:szCs w:val="18"/>
              </w:rPr>
              <w:t xml:space="preserve"> </w:t>
            </w:r>
            <w:r w:rsidRPr="00466BBE">
              <w:rPr>
                <w:rFonts w:ascii="Arial" w:hAnsi="Arial" w:cs="Arial"/>
                <w:color w:val="auto"/>
                <w:sz w:val="18"/>
                <w:szCs w:val="18"/>
              </w:rPr>
              <w:t>0</w:t>
            </w:r>
            <w:r w:rsidR="00605BFE">
              <w:rPr>
                <w:rFonts w:ascii="Arial" w:hAnsi="Arial" w:cs="Arial"/>
                <w:color w:val="auto"/>
                <w:sz w:val="18"/>
                <w:szCs w:val="18"/>
              </w:rPr>
              <w:t>52</w:t>
            </w:r>
            <w:r w:rsidRPr="00466BBE">
              <w:rPr>
                <w:rFonts w:ascii="Arial" w:hAnsi="Arial" w:cs="Arial"/>
                <w:color w:val="auto"/>
                <w:sz w:val="18"/>
                <w:szCs w:val="18"/>
              </w:rPr>
              <w:t xml:space="preserve"> KNOK</w:t>
            </w:r>
          </w:p>
        </w:tc>
      </w:tr>
      <w:tr w:rsidR="00585EA9" w:rsidRPr="006807C7" w14:paraId="7C7D2036" w14:textId="77777777" w:rsidTr="00466BBE">
        <w:trPr>
          <w:trHeight w:val="204"/>
        </w:trPr>
        <w:tc>
          <w:tcPr>
            <w:tcW w:w="3857" w:type="dxa"/>
            <w:shd w:val="clear" w:color="auto" w:fill="auto"/>
            <w:vAlign w:val="bottom"/>
          </w:tcPr>
          <w:p w14:paraId="3AE569BB" w14:textId="77777777" w:rsidR="00585EA9" w:rsidRPr="006807C7" w:rsidRDefault="00585EA9" w:rsidP="00466BBE">
            <w:pPr>
              <w:spacing w:before="40" w:after="40"/>
              <w:jc w:val="left"/>
              <w:rPr>
                <w:rFonts w:ascii="Arial" w:eastAsia="Calibri" w:hAnsi="Arial" w:cs="Arial"/>
                <w:sz w:val="18"/>
                <w:szCs w:val="18"/>
              </w:rPr>
            </w:pPr>
            <w:r w:rsidRPr="006807C7">
              <w:rPr>
                <w:rFonts w:ascii="Arial" w:eastAsia="Calibri" w:hAnsi="Arial" w:cs="Arial"/>
                <w:sz w:val="18"/>
                <w:szCs w:val="18"/>
              </w:rPr>
              <w:t>Costs for exempted IFR flights</w:t>
            </w:r>
          </w:p>
        </w:tc>
        <w:tc>
          <w:tcPr>
            <w:tcW w:w="4961" w:type="dxa"/>
          </w:tcPr>
          <w:p w14:paraId="0E15FC4F" w14:textId="2FA95D29" w:rsidR="00585EA9" w:rsidRPr="006807C7" w:rsidRDefault="00585EA9" w:rsidP="00466BBE">
            <w:pPr>
              <w:spacing w:before="40" w:after="40"/>
              <w:jc w:val="left"/>
              <w:rPr>
                <w:rFonts w:ascii="Calibri" w:hAnsi="Calibri" w:cs="Calibri"/>
                <w:sz w:val="18"/>
                <w:szCs w:val="18"/>
              </w:rPr>
            </w:pPr>
          </w:p>
        </w:tc>
      </w:tr>
      <w:tr w:rsidR="00585EA9" w:rsidRPr="0056319C" w14:paraId="1AFACDA7" w14:textId="77777777" w:rsidTr="00466BBE">
        <w:tc>
          <w:tcPr>
            <w:tcW w:w="3857" w:type="dxa"/>
            <w:shd w:val="clear" w:color="auto" w:fill="auto"/>
            <w:vAlign w:val="bottom"/>
          </w:tcPr>
          <w:p w14:paraId="6749BCB0" w14:textId="77777777" w:rsidR="00585EA9" w:rsidRPr="0056319C" w:rsidRDefault="00585EA9" w:rsidP="00466BBE">
            <w:pPr>
              <w:spacing w:before="40" w:after="40"/>
              <w:jc w:val="left"/>
              <w:rPr>
                <w:rFonts w:ascii="Arial" w:eastAsia="Calibri" w:hAnsi="Arial" w:cs="Arial"/>
                <w:b/>
                <w:sz w:val="18"/>
                <w:szCs w:val="18"/>
              </w:rPr>
            </w:pPr>
            <w:r w:rsidRPr="006807C7">
              <w:rPr>
                <w:rFonts w:ascii="Arial" w:eastAsia="Calibri" w:hAnsi="Arial" w:cs="Arial"/>
                <w:b/>
                <w:sz w:val="18"/>
                <w:szCs w:val="18"/>
              </w:rPr>
              <w:t>Total costs for exempted flights</w:t>
            </w:r>
          </w:p>
        </w:tc>
        <w:tc>
          <w:tcPr>
            <w:tcW w:w="4961" w:type="dxa"/>
          </w:tcPr>
          <w:p w14:paraId="12D89C8F" w14:textId="7A127BB7" w:rsidR="00585EA9" w:rsidRPr="0056319C" w:rsidRDefault="00585EA9" w:rsidP="00466BBE">
            <w:pPr>
              <w:pStyle w:val="Default"/>
              <w:spacing w:before="40" w:after="40"/>
              <w:rPr>
                <w:b/>
                <w:bCs/>
                <w:iCs/>
                <w:color w:val="auto"/>
                <w:sz w:val="18"/>
                <w:szCs w:val="18"/>
              </w:rPr>
            </w:pPr>
          </w:p>
        </w:tc>
      </w:tr>
    </w:tbl>
    <w:p w14:paraId="67EC87E8" w14:textId="77777777" w:rsidR="00585EA9" w:rsidRPr="00485A1F" w:rsidRDefault="00585EA9" w:rsidP="00675B65">
      <w:pPr>
        <w:pStyle w:val="Default"/>
        <w:jc w:val="both"/>
        <w:rPr>
          <w:rFonts w:ascii="Arial" w:hAnsi="Arial" w:cs="Arial"/>
          <w:color w:val="auto"/>
          <w:sz w:val="20"/>
        </w:rPr>
      </w:pPr>
    </w:p>
    <w:bookmarkEnd w:id="3"/>
    <w:p w14:paraId="2A35CB77" w14:textId="115B851F" w:rsidR="008B06AF" w:rsidRDefault="008B06AF" w:rsidP="008B06AF">
      <w:pPr>
        <w:pStyle w:val="Default"/>
        <w:jc w:val="both"/>
        <w:rPr>
          <w:rFonts w:ascii="Arial" w:hAnsi="Arial" w:cs="Arial"/>
          <w:color w:val="17365D"/>
          <w:sz w:val="20"/>
          <w:szCs w:val="20"/>
        </w:rPr>
      </w:pPr>
    </w:p>
    <w:p w14:paraId="7F0EA191" w14:textId="77777777" w:rsidR="00D3318C" w:rsidRDefault="00D3318C" w:rsidP="008B06AF">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05F1BD6" w14:textId="77777777" w:rsidTr="002D6CCF">
        <w:tc>
          <w:tcPr>
            <w:tcW w:w="9242" w:type="dxa"/>
            <w:shd w:val="clear" w:color="auto" w:fill="92D050"/>
          </w:tcPr>
          <w:p w14:paraId="6CCB5A96"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c</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the traffic risk sharing mechanism in accordance with Article 27;</w:t>
            </w:r>
          </w:p>
        </w:tc>
      </w:tr>
    </w:tbl>
    <w:p w14:paraId="6BBBB795" w14:textId="77777777" w:rsidR="008B06AF" w:rsidRDefault="008B06AF" w:rsidP="008B06AF">
      <w:pPr>
        <w:pStyle w:val="Default"/>
        <w:jc w:val="both"/>
        <w:rPr>
          <w:rFonts w:ascii="Arial" w:hAnsi="Arial" w:cs="Arial"/>
          <w:color w:val="17365D"/>
          <w:sz w:val="20"/>
          <w:szCs w:val="20"/>
        </w:rPr>
      </w:pPr>
    </w:p>
    <w:p w14:paraId="5EDA6076" w14:textId="6D87E933" w:rsidR="00B4281D" w:rsidRPr="00661770" w:rsidRDefault="00B4281D" w:rsidP="00B4281D">
      <w:pPr>
        <w:pStyle w:val="Default"/>
        <w:jc w:val="both"/>
        <w:rPr>
          <w:rFonts w:ascii="Arial" w:hAnsi="Arial" w:cs="Arial"/>
          <w:color w:val="auto"/>
          <w:sz w:val="20"/>
          <w:szCs w:val="20"/>
        </w:rPr>
      </w:pPr>
      <w:r w:rsidRPr="00661770">
        <w:rPr>
          <w:rFonts w:ascii="Arial" w:hAnsi="Arial" w:cs="Arial"/>
          <w:color w:val="auto"/>
          <w:sz w:val="20"/>
          <w:szCs w:val="20"/>
        </w:rPr>
        <w:t>Not applicable for this submission – will be based on the combined year 2020-2021 after the adoption of the RP3 performance plan as per Article 16</w:t>
      </w:r>
      <w:r w:rsidR="00015E4A" w:rsidRPr="00661770">
        <w:rPr>
          <w:rFonts w:ascii="Arial" w:hAnsi="Arial" w:cs="Arial"/>
          <w:color w:val="auto"/>
          <w:sz w:val="20"/>
          <w:szCs w:val="20"/>
        </w:rPr>
        <w:t xml:space="preserve"> (E</w:t>
      </w:r>
      <w:r w:rsidR="00015E4A" w:rsidRPr="00661770">
        <w:rPr>
          <w:rFonts w:ascii="Arial" w:eastAsiaTheme="minorHAnsi" w:hAnsi="Arial" w:cs="Arial"/>
          <w:color w:val="auto"/>
          <w:sz w:val="20"/>
          <w:szCs w:val="20"/>
        </w:rPr>
        <w:t xml:space="preserve">xceptional measures for RP3 due to the COVID-19 pandemic (Regulation (EU) 2020/1627, </w:t>
      </w:r>
      <w:r w:rsidR="00015E4A" w:rsidRPr="00661770">
        <w:rPr>
          <w:rFonts w:ascii="Arial" w:hAnsi="Arial" w:cs="Arial"/>
          <w:color w:val="auto"/>
          <w:sz w:val="20"/>
          <w:szCs w:val="20"/>
        </w:rPr>
        <w:t>Article 5(1) and (2)</w:t>
      </w:r>
      <w:r w:rsidR="000A0802">
        <w:rPr>
          <w:rFonts w:ascii="Arial" w:hAnsi="Arial" w:cs="Arial"/>
          <w:color w:val="auto"/>
          <w:sz w:val="20"/>
          <w:szCs w:val="20"/>
        </w:rPr>
        <w:t>))</w:t>
      </w:r>
      <w:r w:rsidR="00015E4A" w:rsidRPr="00661770">
        <w:rPr>
          <w:rFonts w:ascii="Arial" w:hAnsi="Arial" w:cs="Arial"/>
          <w:color w:val="auto"/>
          <w:sz w:val="20"/>
          <w:szCs w:val="20"/>
        </w:rPr>
        <w:t>.</w:t>
      </w:r>
    </w:p>
    <w:p w14:paraId="68248162" w14:textId="0FB3A10A" w:rsidR="00477126" w:rsidRDefault="00477126">
      <w:pPr>
        <w:spacing w:before="0" w:after="200" w:line="276" w:lineRule="auto"/>
        <w:jc w:val="left"/>
        <w:rPr>
          <w:rFonts w:ascii="Arial" w:eastAsia="Calibri"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0534C25E" w14:textId="77777777" w:rsidTr="00477126">
        <w:tc>
          <w:tcPr>
            <w:tcW w:w="9060" w:type="dxa"/>
            <w:shd w:val="clear" w:color="auto" w:fill="92D050"/>
          </w:tcPr>
          <w:p w14:paraId="5B848024"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lastRenderedPageBreak/>
              <w:t>d</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differences between determined costs and actual costs of year n as a result of the changes in costs referred to in Article 28(3) including description of the chan</w:t>
            </w:r>
            <w:r>
              <w:rPr>
                <w:rFonts w:ascii="Arial" w:hAnsi="Arial" w:cs="Arial"/>
                <w:b/>
                <w:color w:val="17365D"/>
                <w:sz w:val="20"/>
                <w:szCs w:val="20"/>
              </w:rPr>
              <w:t>ges referred to in that Article</w:t>
            </w:r>
            <w:r w:rsidRPr="00556F7D">
              <w:rPr>
                <w:rFonts w:ascii="Arial" w:hAnsi="Arial" w:cs="Arial"/>
                <w:b/>
                <w:color w:val="17365D"/>
                <w:sz w:val="20"/>
                <w:szCs w:val="20"/>
              </w:rPr>
              <w:t>;</w:t>
            </w:r>
          </w:p>
        </w:tc>
      </w:tr>
    </w:tbl>
    <w:p w14:paraId="54114918" w14:textId="77777777" w:rsidR="001F08BE" w:rsidRDefault="001F08BE" w:rsidP="001F08BE">
      <w:pPr>
        <w:pStyle w:val="Default"/>
        <w:jc w:val="both"/>
        <w:rPr>
          <w:rFonts w:ascii="Arial" w:hAnsi="Arial" w:cs="Arial"/>
          <w:color w:val="17365D"/>
          <w:sz w:val="20"/>
          <w:szCs w:val="20"/>
        </w:rPr>
      </w:pPr>
    </w:p>
    <w:p w14:paraId="0F9566F5" w14:textId="7935BB32" w:rsidR="00015E4A" w:rsidRDefault="00015E4A" w:rsidP="00015E4A">
      <w:pPr>
        <w:pStyle w:val="Default"/>
        <w:jc w:val="both"/>
        <w:rPr>
          <w:rFonts w:ascii="Arial" w:hAnsi="Arial" w:cs="Arial"/>
          <w:color w:val="auto"/>
          <w:sz w:val="20"/>
          <w:szCs w:val="20"/>
        </w:rPr>
      </w:pPr>
      <w:r w:rsidRPr="00661770">
        <w:rPr>
          <w:rFonts w:ascii="Arial" w:hAnsi="Arial" w:cs="Arial"/>
          <w:color w:val="auto"/>
          <w:sz w:val="20"/>
          <w:szCs w:val="20"/>
        </w:rPr>
        <w:t>Not applicable for this submission – will be based on the combined year 2020-2021 after the adoption of the RP3 performance plan as per Article 16 (E</w:t>
      </w:r>
      <w:r w:rsidRPr="00661770">
        <w:rPr>
          <w:rFonts w:ascii="Arial" w:eastAsiaTheme="minorHAnsi" w:hAnsi="Arial" w:cs="Arial"/>
          <w:color w:val="auto"/>
          <w:sz w:val="20"/>
          <w:szCs w:val="20"/>
        </w:rPr>
        <w:t xml:space="preserve">xceptional measures for RP3 due to the COVID-19 pandemic (Regulation (EU) 2020/1627, </w:t>
      </w:r>
      <w:r w:rsidRPr="00661770">
        <w:rPr>
          <w:rFonts w:ascii="Arial" w:hAnsi="Arial" w:cs="Arial"/>
          <w:color w:val="auto"/>
          <w:sz w:val="20"/>
          <w:szCs w:val="20"/>
        </w:rPr>
        <w:t>Article 5(</w:t>
      </w:r>
      <w:r w:rsidR="00661770" w:rsidRPr="00661770">
        <w:rPr>
          <w:rFonts w:ascii="Arial" w:hAnsi="Arial" w:cs="Arial"/>
          <w:color w:val="auto"/>
          <w:sz w:val="20"/>
          <w:szCs w:val="20"/>
        </w:rPr>
        <w:t>3</w:t>
      </w:r>
      <w:r w:rsidRPr="00661770">
        <w:rPr>
          <w:rFonts w:ascii="Arial" w:hAnsi="Arial" w:cs="Arial"/>
          <w:color w:val="auto"/>
          <w:sz w:val="20"/>
          <w:szCs w:val="20"/>
        </w:rPr>
        <w:t>).</w:t>
      </w:r>
    </w:p>
    <w:p w14:paraId="1D5B60B5" w14:textId="77777777" w:rsidR="004C4B2D" w:rsidRPr="00661770" w:rsidRDefault="004C4B2D" w:rsidP="00015E4A">
      <w:pPr>
        <w:pStyle w:val="Default"/>
        <w:jc w:val="both"/>
        <w:rPr>
          <w:rFonts w:ascii="Arial" w:hAnsi="Arial" w:cs="Arial"/>
          <w:color w:val="auto"/>
          <w:sz w:val="20"/>
          <w:szCs w:val="20"/>
        </w:rPr>
      </w:pPr>
    </w:p>
    <w:p w14:paraId="1CC3F785" w14:textId="77777777" w:rsidR="0029794E" w:rsidRPr="00CA5B88" w:rsidRDefault="0029794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C7F4E42" w14:textId="77777777" w:rsidTr="002D6CCF">
        <w:tc>
          <w:tcPr>
            <w:tcW w:w="9242" w:type="dxa"/>
            <w:shd w:val="clear" w:color="auto" w:fill="92D050"/>
          </w:tcPr>
          <w:p w14:paraId="24FB6C87"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e</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resulting from unforeseen changes in costs in accordance with Article 28(3) to (6)</w:t>
            </w:r>
            <w:r w:rsidRPr="00556F7D">
              <w:rPr>
                <w:rFonts w:ascii="Arial" w:hAnsi="Arial" w:cs="Arial"/>
                <w:b/>
                <w:color w:val="17365D"/>
                <w:sz w:val="20"/>
                <w:szCs w:val="20"/>
              </w:rPr>
              <w:t>;</w:t>
            </w:r>
          </w:p>
        </w:tc>
      </w:tr>
    </w:tbl>
    <w:p w14:paraId="1AEA244D" w14:textId="77777777" w:rsidR="001F08BE" w:rsidRPr="00601109" w:rsidRDefault="001F08BE" w:rsidP="00601109">
      <w:pPr>
        <w:pStyle w:val="Default"/>
        <w:jc w:val="both"/>
        <w:rPr>
          <w:rFonts w:ascii="Arial" w:hAnsi="Arial" w:cs="Arial"/>
          <w:color w:val="17365D"/>
          <w:sz w:val="20"/>
          <w:szCs w:val="20"/>
        </w:rPr>
      </w:pPr>
    </w:p>
    <w:p w14:paraId="3AE4FF92" w14:textId="5599B6D3" w:rsidR="00661770" w:rsidRDefault="00661770" w:rsidP="00661770">
      <w:pPr>
        <w:pStyle w:val="Default"/>
        <w:jc w:val="both"/>
        <w:rPr>
          <w:rFonts w:ascii="Arial" w:hAnsi="Arial" w:cs="Arial"/>
          <w:color w:val="auto"/>
          <w:sz w:val="20"/>
          <w:szCs w:val="20"/>
        </w:rPr>
      </w:pPr>
      <w:r w:rsidRPr="00661770">
        <w:rPr>
          <w:rFonts w:ascii="Arial" w:hAnsi="Arial" w:cs="Arial"/>
          <w:color w:val="auto"/>
          <w:sz w:val="20"/>
          <w:szCs w:val="20"/>
        </w:rPr>
        <w:t>Not applicable for this submission – will be based on the combined year 2020-2021 after the adoption of the RP3 performance plan as per Article 16 (E</w:t>
      </w:r>
      <w:r w:rsidRPr="00661770">
        <w:rPr>
          <w:rFonts w:ascii="Arial" w:eastAsiaTheme="minorHAnsi" w:hAnsi="Arial" w:cs="Arial"/>
          <w:color w:val="auto"/>
          <w:sz w:val="20"/>
          <w:szCs w:val="20"/>
        </w:rPr>
        <w:t xml:space="preserve">xceptional measures for RP3 due to the COVID-19 pandemic (Regulation (EU) 2020/1627, </w:t>
      </w:r>
      <w:r w:rsidRPr="00661770">
        <w:rPr>
          <w:rFonts w:ascii="Arial" w:hAnsi="Arial" w:cs="Arial"/>
          <w:color w:val="auto"/>
          <w:sz w:val="20"/>
          <w:szCs w:val="20"/>
        </w:rPr>
        <w:t>Article 5(3).</w:t>
      </w:r>
    </w:p>
    <w:p w14:paraId="0507A9E7" w14:textId="48508715" w:rsidR="004C4B2D" w:rsidRDefault="004C4B2D">
      <w:pPr>
        <w:spacing w:before="0" w:after="200" w:line="276" w:lineRule="auto"/>
        <w:jc w:val="left"/>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7440A881" w14:textId="77777777" w:rsidTr="00095D3C">
        <w:tc>
          <w:tcPr>
            <w:tcW w:w="9060" w:type="dxa"/>
            <w:shd w:val="clear" w:color="auto" w:fill="92D050"/>
          </w:tcPr>
          <w:p w14:paraId="3312D34B"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f</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other revenues, if any, broken down between the different categories indicated in Article 25(3)</w:t>
            </w:r>
            <w:r w:rsidRPr="00556F7D">
              <w:rPr>
                <w:rFonts w:ascii="Arial" w:hAnsi="Arial" w:cs="Arial"/>
                <w:b/>
                <w:color w:val="17365D"/>
                <w:sz w:val="20"/>
                <w:szCs w:val="20"/>
              </w:rPr>
              <w:t>;</w:t>
            </w:r>
          </w:p>
        </w:tc>
      </w:tr>
    </w:tbl>
    <w:p w14:paraId="3603A27B" w14:textId="77777777" w:rsidR="00095D3C" w:rsidRDefault="00095D3C" w:rsidP="00095D3C">
      <w:pPr>
        <w:pStyle w:val="Default"/>
        <w:jc w:val="both"/>
        <w:rPr>
          <w:rFonts w:ascii="Arial" w:eastAsia="Times New Roman" w:hAnsi="Arial" w:cs="Arial"/>
          <w:color w:val="auto"/>
          <w:spacing w:val="-2"/>
          <w:sz w:val="20"/>
          <w:szCs w:val="20"/>
        </w:rPr>
      </w:pPr>
    </w:p>
    <w:p w14:paraId="2E3FA773" w14:textId="24F4C094" w:rsidR="001F08BE" w:rsidRDefault="00095D3C" w:rsidP="00095D3C">
      <w:pPr>
        <w:pStyle w:val="Default"/>
        <w:jc w:val="both"/>
        <w:rPr>
          <w:rFonts w:ascii="Arial" w:eastAsia="Times New Roman" w:hAnsi="Arial" w:cs="Arial"/>
          <w:color w:val="auto"/>
          <w:spacing w:val="-2"/>
          <w:sz w:val="20"/>
          <w:szCs w:val="20"/>
        </w:rPr>
      </w:pPr>
      <w:r>
        <w:rPr>
          <w:rFonts w:ascii="Arial" w:eastAsia="Times New Roman" w:hAnsi="Arial" w:cs="Arial"/>
          <w:color w:val="auto"/>
          <w:spacing w:val="-2"/>
          <w:sz w:val="20"/>
          <w:szCs w:val="20"/>
        </w:rPr>
        <w:t>R</w:t>
      </w:r>
      <w:r w:rsidRPr="003721F3">
        <w:rPr>
          <w:rFonts w:ascii="Arial" w:eastAsia="Times New Roman" w:hAnsi="Arial" w:cs="Arial"/>
          <w:color w:val="auto"/>
          <w:spacing w:val="-2"/>
          <w:sz w:val="20"/>
          <w:szCs w:val="20"/>
        </w:rPr>
        <w:t xml:space="preserve">evenues received from Union assistance programmes (INEA) </w:t>
      </w:r>
      <w:r>
        <w:rPr>
          <w:rFonts w:ascii="Arial" w:eastAsia="Times New Roman" w:hAnsi="Arial" w:cs="Arial"/>
          <w:color w:val="auto"/>
          <w:spacing w:val="-2"/>
          <w:sz w:val="20"/>
          <w:szCs w:val="20"/>
        </w:rPr>
        <w:t xml:space="preserve">carried over </w:t>
      </w:r>
      <w:r w:rsidRPr="003721F3">
        <w:rPr>
          <w:rFonts w:ascii="Arial" w:eastAsia="Times New Roman" w:hAnsi="Arial" w:cs="Arial"/>
          <w:color w:val="auto"/>
          <w:spacing w:val="-2"/>
          <w:sz w:val="20"/>
          <w:szCs w:val="20"/>
        </w:rPr>
        <w:t>from previous reference period RP2 amounts to 19,3 MNOK, affecting the unit rates</w:t>
      </w:r>
      <w:r>
        <w:rPr>
          <w:rFonts w:ascii="Arial" w:eastAsia="Times New Roman" w:hAnsi="Arial" w:cs="Arial"/>
          <w:color w:val="auto"/>
          <w:spacing w:val="-2"/>
          <w:sz w:val="20"/>
          <w:szCs w:val="20"/>
        </w:rPr>
        <w:t xml:space="preserve"> </w:t>
      </w:r>
      <w:r w:rsidRPr="003721F3">
        <w:rPr>
          <w:rFonts w:ascii="Arial" w:eastAsia="Times New Roman" w:hAnsi="Arial" w:cs="Arial"/>
          <w:color w:val="auto"/>
          <w:spacing w:val="-2"/>
          <w:sz w:val="20"/>
          <w:szCs w:val="20"/>
        </w:rPr>
        <w:t xml:space="preserve">the first three years in RP3 (ref. </w:t>
      </w:r>
      <w:proofErr w:type="spellStart"/>
      <w:r w:rsidRPr="003721F3">
        <w:rPr>
          <w:rFonts w:ascii="Arial" w:eastAsia="Times New Roman" w:hAnsi="Arial" w:cs="Arial"/>
          <w:color w:val="auto"/>
          <w:spacing w:val="-2"/>
          <w:sz w:val="20"/>
          <w:szCs w:val="20"/>
        </w:rPr>
        <w:t>en</w:t>
      </w:r>
      <w:proofErr w:type="spellEnd"/>
      <w:r w:rsidRPr="003721F3">
        <w:rPr>
          <w:rFonts w:ascii="Arial" w:eastAsia="Times New Roman" w:hAnsi="Arial" w:cs="Arial"/>
          <w:color w:val="auto"/>
          <w:spacing w:val="-2"/>
          <w:sz w:val="20"/>
          <w:szCs w:val="20"/>
        </w:rPr>
        <w:t xml:space="preserve"> route reporting tables RP3, sheet T2, item 13.8)</w:t>
      </w:r>
      <w:r>
        <w:rPr>
          <w:rFonts w:ascii="Arial" w:eastAsia="Times New Roman" w:hAnsi="Arial" w:cs="Arial"/>
          <w:color w:val="auto"/>
          <w:spacing w:val="-2"/>
          <w:sz w:val="20"/>
          <w:szCs w:val="20"/>
        </w:rPr>
        <w:t>. No r</w:t>
      </w:r>
      <w:r w:rsidRPr="003721F3">
        <w:rPr>
          <w:rFonts w:ascii="Arial" w:eastAsia="Times New Roman" w:hAnsi="Arial" w:cs="Arial"/>
          <w:color w:val="auto"/>
          <w:spacing w:val="-2"/>
          <w:sz w:val="20"/>
          <w:szCs w:val="20"/>
        </w:rPr>
        <w:t>evenues received from Union assistance programmes in current reference period RP3</w:t>
      </w:r>
      <w:r>
        <w:rPr>
          <w:rFonts w:ascii="Arial" w:eastAsia="Times New Roman" w:hAnsi="Arial" w:cs="Arial"/>
          <w:color w:val="auto"/>
          <w:spacing w:val="-2"/>
          <w:sz w:val="20"/>
          <w:szCs w:val="20"/>
        </w:rPr>
        <w:t>.</w:t>
      </w:r>
    </w:p>
    <w:p w14:paraId="5C8CC222" w14:textId="77777777" w:rsidR="004C4B2D" w:rsidRDefault="004C4B2D" w:rsidP="00095D3C">
      <w:pPr>
        <w:pStyle w:val="Default"/>
        <w:jc w:val="both"/>
        <w:rPr>
          <w:rFonts w:ascii="Arial" w:hAnsi="Arial" w:cs="Arial"/>
          <w:color w:val="17365D"/>
          <w:sz w:val="20"/>
          <w:szCs w:val="20"/>
          <w:lang w:val="en-US"/>
        </w:rPr>
      </w:pPr>
    </w:p>
    <w:p w14:paraId="7D7B5F8A" w14:textId="77777777" w:rsidR="00036438" w:rsidRPr="00CA0D96" w:rsidRDefault="00036438"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53ABDC9D" w14:textId="77777777" w:rsidTr="002D6CCF">
        <w:tc>
          <w:tcPr>
            <w:tcW w:w="9242" w:type="dxa"/>
            <w:shd w:val="clear" w:color="auto" w:fill="92D050"/>
          </w:tcPr>
          <w:p w14:paraId="5B07C20A"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g</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the application of the financial incentive schemes referred to in Article 11(3) and 11(4) in year n and the resulting financial advantages and disadvantages; description and explanation of the modulation of air navigation charges applied in year n under Article 32 where applicable, and resulting adjustments</w:t>
            </w:r>
            <w:r w:rsidRPr="00556F7D">
              <w:rPr>
                <w:rFonts w:ascii="Arial" w:hAnsi="Arial" w:cs="Arial"/>
                <w:b/>
                <w:color w:val="17365D"/>
                <w:sz w:val="20"/>
                <w:szCs w:val="20"/>
              </w:rPr>
              <w:t>;</w:t>
            </w:r>
          </w:p>
        </w:tc>
      </w:tr>
    </w:tbl>
    <w:p w14:paraId="714B828D" w14:textId="77777777" w:rsidR="004C4B2D" w:rsidRDefault="004C4B2D" w:rsidP="00F424DF">
      <w:pPr>
        <w:jc w:val="center"/>
        <w:rPr>
          <w:b/>
          <w:i/>
          <w:lang w:eastAsia="de-DE"/>
        </w:rPr>
      </w:pPr>
    </w:p>
    <w:p w14:paraId="033B4ADB" w14:textId="1F00806C" w:rsidR="00F424DF" w:rsidRPr="00F424DF" w:rsidRDefault="00F424DF" w:rsidP="00F424DF">
      <w:pPr>
        <w:jc w:val="center"/>
        <w:rPr>
          <w:b/>
          <w:i/>
          <w:lang w:eastAsia="de-DE"/>
        </w:rPr>
      </w:pPr>
      <w:r w:rsidRPr="00F424DF">
        <w:rPr>
          <w:b/>
          <w:i/>
          <w:lang w:eastAsia="de-DE"/>
        </w:rPr>
        <w:t>Financial incentive schemes</w:t>
      </w:r>
    </w:p>
    <w:p w14:paraId="14B3628B" w14:textId="77777777" w:rsidR="008C2344" w:rsidRPr="00661770" w:rsidRDefault="008C2344" w:rsidP="008C2344">
      <w:pPr>
        <w:pStyle w:val="Default"/>
        <w:jc w:val="both"/>
        <w:rPr>
          <w:rFonts w:ascii="Arial" w:hAnsi="Arial" w:cs="Arial"/>
          <w:color w:val="auto"/>
          <w:sz w:val="20"/>
          <w:szCs w:val="20"/>
        </w:rPr>
      </w:pPr>
      <w:r w:rsidRPr="00661770">
        <w:rPr>
          <w:rFonts w:ascii="Arial" w:hAnsi="Arial" w:cs="Arial"/>
          <w:color w:val="auto"/>
          <w:sz w:val="20"/>
          <w:szCs w:val="20"/>
        </w:rPr>
        <w:t>The description and justification of the parameters of the incentive scheme defined in accordance with Article 11(3) and 11 (4) are provided in the body of the performance plan under item 5.2.</w:t>
      </w:r>
    </w:p>
    <w:p w14:paraId="4C4706FE" w14:textId="77777777" w:rsidR="00466BBE" w:rsidRDefault="00466BBE" w:rsidP="00F424DF">
      <w:pPr>
        <w:jc w:val="center"/>
        <w:rPr>
          <w:b/>
          <w:i/>
          <w:lang w:eastAsia="de-DE"/>
        </w:rPr>
      </w:pPr>
    </w:p>
    <w:p w14:paraId="40D81DB4" w14:textId="4B8F1C8C" w:rsidR="00F424DF" w:rsidRPr="00F424DF" w:rsidRDefault="00F424DF" w:rsidP="00F424DF">
      <w:pPr>
        <w:jc w:val="center"/>
        <w:rPr>
          <w:b/>
          <w:i/>
          <w:lang w:eastAsia="de-DE"/>
        </w:rPr>
      </w:pPr>
      <w:r w:rsidRPr="00F424DF">
        <w:rPr>
          <w:b/>
          <w:i/>
          <w:lang w:eastAsia="de-DE"/>
        </w:rPr>
        <w:t>Modulation of charges</w:t>
      </w:r>
    </w:p>
    <w:p w14:paraId="0CCE345D" w14:textId="2E5E1B88" w:rsidR="00661770" w:rsidRPr="00661770" w:rsidRDefault="00015E4A" w:rsidP="00661770">
      <w:pPr>
        <w:pStyle w:val="Default"/>
        <w:jc w:val="both"/>
        <w:rPr>
          <w:rFonts w:ascii="Arial" w:hAnsi="Arial" w:cs="Arial"/>
          <w:color w:val="auto"/>
          <w:sz w:val="20"/>
          <w:szCs w:val="20"/>
        </w:rPr>
      </w:pPr>
      <w:r w:rsidRPr="00661770">
        <w:rPr>
          <w:rFonts w:ascii="Arial" w:hAnsi="Arial" w:cs="Arial"/>
          <w:color w:val="auto"/>
          <w:sz w:val="20"/>
          <w:szCs w:val="20"/>
        </w:rPr>
        <w:t>The actual application and relating financial advantages and disadvantages for 2020 is not applicable</w:t>
      </w:r>
      <w:r w:rsidR="00661770" w:rsidRPr="00661770">
        <w:rPr>
          <w:rFonts w:ascii="Arial" w:hAnsi="Arial" w:cs="Arial"/>
          <w:color w:val="auto"/>
          <w:sz w:val="20"/>
          <w:szCs w:val="20"/>
        </w:rPr>
        <w:t xml:space="preserve"> (E</w:t>
      </w:r>
      <w:r w:rsidR="00661770" w:rsidRPr="00661770">
        <w:rPr>
          <w:rFonts w:ascii="Arial" w:eastAsiaTheme="minorHAnsi" w:hAnsi="Arial" w:cs="Arial"/>
          <w:color w:val="auto"/>
          <w:sz w:val="20"/>
          <w:szCs w:val="20"/>
        </w:rPr>
        <w:t xml:space="preserve">xceptional measures for RP3 due to the COVID-19 pandemic (Regulation (EU) 2020/1627, </w:t>
      </w:r>
      <w:r w:rsidR="00661770" w:rsidRPr="00661770">
        <w:rPr>
          <w:rFonts w:ascii="Arial" w:hAnsi="Arial" w:cs="Arial"/>
          <w:color w:val="auto"/>
          <w:sz w:val="20"/>
          <w:szCs w:val="20"/>
        </w:rPr>
        <w:t>Article 3 (3)</w:t>
      </w:r>
      <w:r w:rsidR="00C22C1D">
        <w:rPr>
          <w:rFonts w:ascii="Arial" w:hAnsi="Arial" w:cs="Arial"/>
          <w:color w:val="auto"/>
          <w:sz w:val="20"/>
          <w:szCs w:val="20"/>
        </w:rPr>
        <w:t>)</w:t>
      </w:r>
      <w:r w:rsidR="00661770" w:rsidRPr="00661770">
        <w:rPr>
          <w:rFonts w:ascii="Arial" w:hAnsi="Arial" w:cs="Arial"/>
          <w:color w:val="auto"/>
          <w:sz w:val="20"/>
          <w:szCs w:val="20"/>
        </w:rPr>
        <w:t>.</w:t>
      </w:r>
    </w:p>
    <w:p w14:paraId="786F0E1A" w14:textId="52E75B79" w:rsidR="00661770" w:rsidRDefault="00661770" w:rsidP="001F08BE">
      <w:pPr>
        <w:pStyle w:val="Default"/>
        <w:jc w:val="both"/>
        <w:rPr>
          <w:rFonts w:ascii="Arial" w:hAnsi="Arial" w:cs="Arial"/>
          <w:color w:val="17365D"/>
          <w:sz w:val="20"/>
          <w:szCs w:val="20"/>
        </w:rPr>
      </w:pPr>
    </w:p>
    <w:p w14:paraId="6FBF6811" w14:textId="6BC4B85A" w:rsidR="00661770" w:rsidRDefault="00661770"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42C764E1" w14:textId="77777777" w:rsidTr="00982A28">
        <w:tc>
          <w:tcPr>
            <w:tcW w:w="9060" w:type="dxa"/>
            <w:shd w:val="clear" w:color="auto" w:fill="92D050"/>
          </w:tcPr>
          <w:p w14:paraId="14C7745A"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h</w:t>
            </w:r>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escription of adjustments relating to the temporary application of a unit rate under Article 29(5);</w:t>
            </w:r>
          </w:p>
        </w:tc>
      </w:tr>
    </w:tbl>
    <w:p w14:paraId="7675F0D0" w14:textId="77777777" w:rsidR="001F08BE" w:rsidRDefault="001F08BE" w:rsidP="001F08BE">
      <w:pPr>
        <w:pStyle w:val="Default"/>
        <w:jc w:val="both"/>
        <w:rPr>
          <w:rFonts w:ascii="Arial" w:hAnsi="Arial" w:cs="Arial"/>
          <w:color w:val="17365D"/>
          <w:sz w:val="20"/>
          <w:szCs w:val="20"/>
        </w:rPr>
      </w:pPr>
    </w:p>
    <w:p w14:paraId="14A33DCE" w14:textId="2E2EAE87" w:rsidR="00661770" w:rsidRDefault="00661770" w:rsidP="00661770">
      <w:pPr>
        <w:pStyle w:val="Default"/>
        <w:jc w:val="both"/>
        <w:rPr>
          <w:rFonts w:ascii="Arial" w:hAnsi="Arial" w:cs="Arial"/>
          <w:color w:val="auto"/>
          <w:sz w:val="20"/>
          <w:szCs w:val="20"/>
        </w:rPr>
      </w:pPr>
      <w:r w:rsidRPr="00661770">
        <w:rPr>
          <w:rFonts w:ascii="Arial" w:hAnsi="Arial" w:cs="Arial"/>
          <w:color w:val="auto"/>
          <w:sz w:val="20"/>
          <w:szCs w:val="20"/>
        </w:rPr>
        <w:t>Not applicable for this submission – will be based on the combined year 2020-2021 after the adoption of the RP3 performance plan as per Article 16 (E</w:t>
      </w:r>
      <w:r w:rsidRPr="00661770">
        <w:rPr>
          <w:rFonts w:ascii="Arial" w:eastAsiaTheme="minorHAnsi" w:hAnsi="Arial" w:cs="Arial"/>
          <w:color w:val="auto"/>
          <w:sz w:val="20"/>
          <w:szCs w:val="20"/>
        </w:rPr>
        <w:t xml:space="preserve">xceptional measures for RP3 due to the COVID-19 pandemic (Regulation (EU) 2020/1627, </w:t>
      </w:r>
      <w:r w:rsidRPr="00661770">
        <w:rPr>
          <w:rFonts w:ascii="Arial" w:hAnsi="Arial" w:cs="Arial"/>
          <w:color w:val="auto"/>
          <w:sz w:val="20"/>
          <w:szCs w:val="20"/>
        </w:rPr>
        <w:t>Article 5(4)</w:t>
      </w:r>
      <w:r w:rsidR="000A0802">
        <w:rPr>
          <w:rFonts w:ascii="Arial" w:hAnsi="Arial" w:cs="Arial"/>
          <w:color w:val="auto"/>
          <w:sz w:val="20"/>
          <w:szCs w:val="20"/>
        </w:rPr>
        <w:t>))</w:t>
      </w:r>
      <w:r w:rsidRPr="00661770">
        <w:rPr>
          <w:rFonts w:ascii="Arial" w:hAnsi="Arial" w:cs="Arial"/>
          <w:color w:val="auto"/>
          <w:sz w:val="20"/>
          <w:szCs w:val="20"/>
        </w:rPr>
        <w:t>.</w:t>
      </w:r>
    </w:p>
    <w:p w14:paraId="06C9A0C6" w14:textId="77777777" w:rsidR="00982A28" w:rsidRPr="00661770" w:rsidRDefault="00982A28" w:rsidP="00661770">
      <w:pPr>
        <w:pStyle w:val="Default"/>
        <w:jc w:val="both"/>
        <w:rPr>
          <w:rFonts w:ascii="Arial" w:hAnsi="Arial" w:cs="Arial"/>
          <w:color w:val="auto"/>
          <w:sz w:val="20"/>
          <w:szCs w:val="20"/>
        </w:rPr>
      </w:pPr>
    </w:p>
    <w:p w14:paraId="25A45D0A" w14:textId="545B0DFD" w:rsidR="00090261" w:rsidRDefault="00090261">
      <w:pPr>
        <w:spacing w:before="0" w:after="200" w:line="276" w:lineRule="auto"/>
        <w:jc w:val="left"/>
        <w:rPr>
          <w:rFonts w:ascii="Arial" w:eastAsia="Calibri" w:hAnsi="Arial" w:cs="Arial"/>
          <w:color w:val="17365D"/>
          <w:sz w:val="20"/>
          <w:szCs w:val="20"/>
        </w:rPr>
      </w:pPr>
      <w:r>
        <w:rPr>
          <w:rFonts w:ascii="Arial" w:hAnsi="Arial" w:cs="Arial"/>
          <w:color w:val="17365D"/>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04B179E1" w14:textId="77777777" w:rsidTr="00982A28">
        <w:tc>
          <w:tcPr>
            <w:tcW w:w="9060" w:type="dxa"/>
            <w:shd w:val="clear" w:color="auto" w:fill="92D050"/>
          </w:tcPr>
          <w:p w14:paraId="598955E8" w14:textId="77777777" w:rsidR="001F08BE" w:rsidRPr="00CA5B88" w:rsidRDefault="001F08BE" w:rsidP="001F08BE">
            <w:pPr>
              <w:pStyle w:val="Default"/>
              <w:spacing w:before="60" w:after="60"/>
              <w:jc w:val="both"/>
              <w:rPr>
                <w:rFonts w:ascii="Arial" w:hAnsi="Arial" w:cs="Arial"/>
                <w:b/>
                <w:color w:val="17365D"/>
                <w:sz w:val="20"/>
                <w:szCs w:val="20"/>
              </w:rPr>
            </w:pPr>
            <w:proofErr w:type="spellStart"/>
            <w:r>
              <w:rPr>
                <w:rFonts w:ascii="Arial" w:hAnsi="Arial" w:cs="Arial"/>
                <w:b/>
                <w:color w:val="17365D"/>
                <w:sz w:val="20"/>
                <w:szCs w:val="20"/>
              </w:rPr>
              <w:lastRenderedPageBreak/>
              <w:t>i</w:t>
            </w:r>
            <w:proofErr w:type="spellEnd"/>
            <w:r w:rsidRPr="00CA5B88">
              <w:rPr>
                <w:rFonts w:ascii="Arial" w:hAnsi="Arial" w:cs="Arial"/>
                <w:b/>
                <w:color w:val="17365D"/>
                <w:sz w:val="20"/>
                <w:szCs w:val="20"/>
              </w:rPr>
              <w:t xml:space="preserve">) </w:t>
            </w:r>
            <w:r>
              <w:rPr>
                <w:rFonts w:ascii="Arial" w:hAnsi="Arial" w:cs="Arial"/>
                <w:b/>
                <w:color w:val="17365D"/>
                <w:sz w:val="20"/>
                <w:szCs w:val="20"/>
              </w:rPr>
              <w:t>D</w:t>
            </w:r>
            <w:r w:rsidRPr="001F08BE">
              <w:rPr>
                <w:rFonts w:ascii="Arial" w:hAnsi="Arial" w:cs="Arial"/>
                <w:b/>
                <w:color w:val="17365D"/>
                <w:sz w:val="20"/>
                <w:szCs w:val="20"/>
              </w:rPr>
              <w:t xml:space="preserve">escription of the cross-financing between </w:t>
            </w:r>
            <w:proofErr w:type="spellStart"/>
            <w:r w:rsidRPr="001F08BE">
              <w:rPr>
                <w:rFonts w:ascii="Arial" w:hAnsi="Arial" w:cs="Arial"/>
                <w:b/>
                <w:color w:val="17365D"/>
                <w:sz w:val="20"/>
                <w:szCs w:val="20"/>
              </w:rPr>
              <w:t>en</w:t>
            </w:r>
            <w:proofErr w:type="spellEnd"/>
            <w:r w:rsidRPr="001F08BE">
              <w:rPr>
                <w:rFonts w:ascii="Arial" w:hAnsi="Arial" w:cs="Arial"/>
                <w:b/>
                <w:color w:val="17365D"/>
                <w:sz w:val="20"/>
                <w:szCs w:val="20"/>
              </w:rPr>
              <w:t xml:space="preserve"> route charging zones, or between terminal charging zones, in accordance with point (e) of Article 15(2) of Regulation 550/2004;</w:t>
            </w:r>
          </w:p>
        </w:tc>
      </w:tr>
    </w:tbl>
    <w:p w14:paraId="279D62FD" w14:textId="77777777" w:rsidR="002018BF" w:rsidRDefault="002018BF" w:rsidP="002018BF">
      <w:pPr>
        <w:pStyle w:val="Default"/>
        <w:jc w:val="both"/>
        <w:rPr>
          <w:rFonts w:ascii="Arial" w:hAnsi="Arial" w:cs="Arial"/>
          <w:color w:val="17365D"/>
          <w:sz w:val="20"/>
          <w:szCs w:val="20"/>
        </w:rPr>
      </w:pPr>
    </w:p>
    <w:p w14:paraId="202A9CA9" w14:textId="10BBF224" w:rsidR="002C4F49" w:rsidRPr="00C65527" w:rsidRDefault="002C4F49" w:rsidP="002C4F49">
      <w:pPr>
        <w:pStyle w:val="Default"/>
        <w:jc w:val="both"/>
        <w:rPr>
          <w:rFonts w:ascii="Arial" w:hAnsi="Arial" w:cs="Arial"/>
          <w:sz w:val="20"/>
          <w:szCs w:val="20"/>
        </w:rPr>
      </w:pPr>
      <w:r w:rsidRPr="00C65527">
        <w:rPr>
          <w:rFonts w:ascii="Arial" w:hAnsi="Arial" w:cs="Arial"/>
          <w:sz w:val="20"/>
          <w:szCs w:val="20"/>
        </w:rPr>
        <w:t xml:space="preserve">Not applicable for this submission in current reference period RP3 (ref. </w:t>
      </w:r>
      <w:proofErr w:type="spellStart"/>
      <w:r>
        <w:rPr>
          <w:rFonts w:ascii="Arial" w:hAnsi="Arial" w:cs="Arial"/>
          <w:sz w:val="20"/>
          <w:szCs w:val="20"/>
        </w:rPr>
        <w:t>En</w:t>
      </w:r>
      <w:proofErr w:type="spellEnd"/>
      <w:r>
        <w:rPr>
          <w:rFonts w:ascii="Arial" w:hAnsi="Arial" w:cs="Arial"/>
          <w:sz w:val="20"/>
          <w:szCs w:val="20"/>
        </w:rPr>
        <w:t>-Route</w:t>
      </w:r>
      <w:r w:rsidRPr="00C65527">
        <w:rPr>
          <w:rFonts w:ascii="Arial" w:hAnsi="Arial" w:cs="Arial"/>
          <w:sz w:val="20"/>
          <w:szCs w:val="20"/>
        </w:rPr>
        <w:t xml:space="preserve"> reporting tables RP3,</w:t>
      </w:r>
      <w:r w:rsidRPr="00AE7DE0">
        <w:rPr>
          <w:rFonts w:ascii="Arial" w:eastAsia="Times New Roman" w:hAnsi="Arial" w:cs="Arial"/>
          <w:color w:val="auto"/>
          <w:spacing w:val="-2"/>
          <w:sz w:val="20"/>
          <w:szCs w:val="20"/>
        </w:rPr>
        <w:t xml:space="preserve"> </w:t>
      </w:r>
      <w:r w:rsidRPr="00C65527">
        <w:rPr>
          <w:rFonts w:ascii="Arial" w:hAnsi="Arial" w:cs="Arial"/>
          <w:sz w:val="20"/>
          <w:szCs w:val="20"/>
        </w:rPr>
        <w:t>sheet T2, item 13.</w:t>
      </w:r>
      <w:r>
        <w:rPr>
          <w:rFonts w:ascii="Arial" w:hAnsi="Arial" w:cs="Arial"/>
          <w:sz w:val="20"/>
          <w:szCs w:val="20"/>
        </w:rPr>
        <w:t>9</w:t>
      </w:r>
      <w:r w:rsidRPr="00C65527">
        <w:rPr>
          <w:rFonts w:ascii="Arial" w:hAnsi="Arial" w:cs="Arial"/>
          <w:sz w:val="20"/>
          <w:szCs w:val="20"/>
        </w:rPr>
        <w:t>).</w:t>
      </w:r>
    </w:p>
    <w:p w14:paraId="56CA0B91" w14:textId="77777777" w:rsidR="002C4F49" w:rsidRPr="00701F28" w:rsidRDefault="002C4F49" w:rsidP="002018BF">
      <w:pPr>
        <w:pStyle w:val="Default"/>
        <w:jc w:val="both"/>
        <w:rPr>
          <w:rFonts w:ascii="Arial" w:hAnsi="Arial" w:cs="Arial"/>
          <w:color w:val="auto"/>
          <w:sz w:val="20"/>
          <w:szCs w:val="20"/>
          <w:lang w:val="en-US"/>
        </w:rPr>
      </w:pPr>
    </w:p>
    <w:p w14:paraId="5DAE1AC9" w14:textId="77777777" w:rsidR="00E24E2F" w:rsidRPr="00CA5B88" w:rsidRDefault="00E24E2F"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6FE2F767" w14:textId="77777777" w:rsidTr="002D6CCF">
        <w:tc>
          <w:tcPr>
            <w:tcW w:w="9242" w:type="dxa"/>
            <w:shd w:val="clear" w:color="auto" w:fill="92D050"/>
          </w:tcPr>
          <w:p w14:paraId="09251D55" w14:textId="77777777" w:rsidR="001F08BE" w:rsidRPr="00CA5B88" w:rsidRDefault="001F08BE" w:rsidP="001F08BE">
            <w:pPr>
              <w:pStyle w:val="Default"/>
              <w:spacing w:before="60" w:after="60"/>
              <w:jc w:val="both"/>
              <w:rPr>
                <w:rFonts w:ascii="Arial" w:hAnsi="Arial" w:cs="Arial"/>
                <w:b/>
                <w:color w:val="17365D"/>
                <w:sz w:val="20"/>
                <w:szCs w:val="20"/>
              </w:rPr>
            </w:pPr>
            <w:r>
              <w:rPr>
                <w:rFonts w:ascii="Arial" w:hAnsi="Arial" w:cs="Arial"/>
                <w:b/>
                <w:color w:val="17365D"/>
                <w:sz w:val="20"/>
                <w:szCs w:val="20"/>
              </w:rPr>
              <w:t>j</w:t>
            </w:r>
            <w:r w:rsidRPr="00CA5B88">
              <w:rPr>
                <w:rFonts w:ascii="Arial" w:hAnsi="Arial" w:cs="Arial"/>
                <w:b/>
                <w:color w:val="17365D"/>
                <w:sz w:val="20"/>
                <w:szCs w:val="20"/>
              </w:rPr>
              <w:t xml:space="preserve">) </w:t>
            </w:r>
            <w:r>
              <w:rPr>
                <w:rFonts w:ascii="Arial" w:hAnsi="Arial" w:cs="Arial"/>
                <w:b/>
                <w:color w:val="17365D"/>
                <w:sz w:val="20"/>
                <w:szCs w:val="20"/>
              </w:rPr>
              <w:t>I</w:t>
            </w:r>
            <w:r w:rsidRPr="001F08BE">
              <w:rPr>
                <w:rFonts w:ascii="Arial" w:hAnsi="Arial" w:cs="Arial"/>
                <w:b/>
                <w:color w:val="17365D"/>
                <w:sz w:val="20"/>
                <w:szCs w:val="20"/>
              </w:rPr>
              <w:t>nformation on the application of a lower unit rate under Article 29(6) than the unit rate calculated in accordance with Article 25(2) and the means to finance the difference in revenue</w:t>
            </w:r>
            <w:r w:rsidRPr="00556F7D">
              <w:rPr>
                <w:rFonts w:ascii="Arial" w:hAnsi="Arial" w:cs="Arial"/>
                <w:b/>
                <w:color w:val="17365D"/>
                <w:sz w:val="20"/>
                <w:szCs w:val="20"/>
              </w:rPr>
              <w:t>;</w:t>
            </w:r>
          </w:p>
        </w:tc>
      </w:tr>
    </w:tbl>
    <w:p w14:paraId="5FE0C32A" w14:textId="14C05B00" w:rsidR="00F424DF" w:rsidRDefault="00F424DF" w:rsidP="00F424DF">
      <w:pPr>
        <w:pStyle w:val="Default"/>
        <w:jc w:val="both"/>
        <w:rPr>
          <w:rFonts w:ascii="Arial" w:hAnsi="Arial" w:cs="Arial"/>
          <w:color w:val="17365D"/>
          <w:sz w:val="20"/>
          <w:szCs w:val="20"/>
        </w:rPr>
      </w:pPr>
    </w:p>
    <w:p w14:paraId="0B554413" w14:textId="5E16F87F" w:rsidR="00DA18B4" w:rsidRPr="00427C81" w:rsidRDefault="00DA18B4" w:rsidP="006249E7">
      <w:pPr>
        <w:pStyle w:val="Listeavsnitt"/>
        <w:spacing w:after="0"/>
        <w:rPr>
          <w:rFonts w:ascii="Arial" w:eastAsiaTheme="minorHAnsi" w:hAnsi="Arial" w:cs="Arial"/>
          <w:sz w:val="20"/>
          <w:szCs w:val="20"/>
          <w:lang w:val="en-US" w:eastAsia="nb-NO"/>
        </w:rPr>
      </w:pPr>
      <w:r w:rsidRPr="00427C81">
        <w:rPr>
          <w:rFonts w:ascii="Arial" w:eastAsiaTheme="minorHAnsi" w:hAnsi="Arial" w:cs="Arial"/>
          <w:sz w:val="20"/>
          <w:szCs w:val="20"/>
          <w:lang w:val="en-US" w:eastAsia="nb-NO"/>
        </w:rPr>
        <w:t xml:space="preserve">In the </w:t>
      </w:r>
      <w:proofErr w:type="spellStart"/>
      <w:r w:rsidR="006249E7" w:rsidRPr="00427C81">
        <w:rPr>
          <w:rFonts w:ascii="Arial" w:eastAsiaTheme="minorHAnsi" w:hAnsi="Arial" w:cs="Arial"/>
          <w:sz w:val="20"/>
          <w:szCs w:val="20"/>
          <w:lang w:val="en-US" w:eastAsia="nb-NO"/>
        </w:rPr>
        <w:t>en</w:t>
      </w:r>
      <w:proofErr w:type="spellEnd"/>
      <w:r w:rsidR="006249E7" w:rsidRPr="00427C81">
        <w:rPr>
          <w:rFonts w:ascii="Arial" w:eastAsiaTheme="minorHAnsi" w:hAnsi="Arial" w:cs="Arial"/>
          <w:sz w:val="20"/>
          <w:szCs w:val="20"/>
          <w:lang w:val="en-US" w:eastAsia="nb-NO"/>
        </w:rPr>
        <w:t xml:space="preserve"> route </w:t>
      </w:r>
      <w:r w:rsidRPr="00427C81">
        <w:rPr>
          <w:rFonts w:ascii="Arial" w:eastAsiaTheme="minorHAnsi" w:hAnsi="Arial" w:cs="Arial"/>
          <w:sz w:val="20"/>
          <w:szCs w:val="20"/>
          <w:lang w:val="en-US" w:eastAsia="nb-NO"/>
        </w:rPr>
        <w:t>reporting table T2</w:t>
      </w:r>
      <w:r w:rsidR="006249E7" w:rsidRPr="00427C81">
        <w:rPr>
          <w:rFonts w:ascii="Arial" w:eastAsiaTheme="minorHAnsi" w:hAnsi="Arial" w:cs="Arial"/>
          <w:sz w:val="20"/>
          <w:szCs w:val="20"/>
          <w:lang w:val="en-US" w:eastAsia="nb-NO"/>
        </w:rPr>
        <w:t>,</w:t>
      </w:r>
      <w:r w:rsidRPr="00427C81">
        <w:rPr>
          <w:rFonts w:ascii="Arial" w:eastAsiaTheme="minorHAnsi" w:hAnsi="Arial" w:cs="Arial"/>
          <w:sz w:val="20"/>
          <w:szCs w:val="20"/>
          <w:lang w:val="en-US" w:eastAsia="nb-NO"/>
        </w:rPr>
        <w:t xml:space="preserve"> item</w:t>
      </w:r>
      <w:r w:rsidR="006249E7" w:rsidRPr="00427C81">
        <w:rPr>
          <w:rFonts w:ascii="Arial" w:eastAsiaTheme="minorHAnsi" w:hAnsi="Arial" w:cs="Arial"/>
          <w:sz w:val="20"/>
          <w:szCs w:val="20"/>
          <w:lang w:val="en-US" w:eastAsia="nb-NO"/>
        </w:rPr>
        <w:t xml:space="preserve"> </w:t>
      </w:r>
      <w:r w:rsidRPr="00427C81">
        <w:rPr>
          <w:rFonts w:ascii="Arial" w:eastAsiaTheme="minorHAnsi" w:hAnsi="Arial" w:cs="Arial"/>
          <w:sz w:val="20"/>
          <w:szCs w:val="20"/>
          <w:lang w:val="en-US" w:eastAsia="nb-NO"/>
        </w:rPr>
        <w:t xml:space="preserve">13.14 reduction as per Art. 29(6)) </w:t>
      </w:r>
      <w:r w:rsidR="00CD542F" w:rsidRPr="00427C81">
        <w:rPr>
          <w:rFonts w:ascii="Arial" w:eastAsiaTheme="minorHAnsi" w:hAnsi="Arial" w:cs="Arial"/>
          <w:sz w:val="20"/>
          <w:szCs w:val="20"/>
          <w:lang w:val="en-US" w:eastAsia="nb-NO"/>
        </w:rPr>
        <w:t xml:space="preserve">for combined year </w:t>
      </w:r>
      <w:r w:rsidRPr="00427C81">
        <w:rPr>
          <w:rFonts w:ascii="Arial" w:eastAsiaTheme="minorHAnsi" w:hAnsi="Arial" w:cs="Arial"/>
          <w:sz w:val="20"/>
          <w:szCs w:val="20"/>
          <w:lang w:val="en-US" w:eastAsia="nb-NO"/>
        </w:rPr>
        <w:t>2020/2021</w:t>
      </w:r>
      <w:r w:rsidR="00CD542F" w:rsidRPr="00427C81">
        <w:rPr>
          <w:rFonts w:ascii="Arial" w:eastAsiaTheme="minorHAnsi" w:hAnsi="Arial" w:cs="Arial"/>
          <w:sz w:val="20"/>
          <w:szCs w:val="20"/>
          <w:lang w:val="en-US" w:eastAsia="nb-NO"/>
        </w:rPr>
        <w:t xml:space="preserve"> amounts to -3</w:t>
      </w:r>
      <w:r w:rsidR="001056D0" w:rsidRPr="00427C81">
        <w:rPr>
          <w:rFonts w:ascii="Arial" w:eastAsiaTheme="minorHAnsi" w:hAnsi="Arial" w:cs="Arial"/>
          <w:sz w:val="20"/>
          <w:szCs w:val="20"/>
          <w:lang w:val="en-US" w:eastAsia="nb-NO"/>
        </w:rPr>
        <w:t>5</w:t>
      </w:r>
      <w:r w:rsidR="000957A0">
        <w:rPr>
          <w:rFonts w:ascii="Arial" w:eastAsiaTheme="minorHAnsi" w:hAnsi="Arial" w:cs="Arial"/>
          <w:sz w:val="20"/>
          <w:szCs w:val="20"/>
          <w:lang w:val="en-US" w:eastAsia="nb-NO"/>
        </w:rPr>
        <w:t>2</w:t>
      </w:r>
      <w:r w:rsidR="00CD542F" w:rsidRPr="00427C81">
        <w:rPr>
          <w:rFonts w:ascii="Arial" w:eastAsiaTheme="minorHAnsi" w:hAnsi="Arial" w:cs="Arial"/>
          <w:sz w:val="20"/>
          <w:szCs w:val="20"/>
          <w:lang w:val="en-US" w:eastAsia="nb-NO"/>
        </w:rPr>
        <w:t>,</w:t>
      </w:r>
      <w:r w:rsidR="000957A0">
        <w:rPr>
          <w:rFonts w:ascii="Arial" w:eastAsiaTheme="minorHAnsi" w:hAnsi="Arial" w:cs="Arial"/>
          <w:sz w:val="20"/>
          <w:szCs w:val="20"/>
          <w:lang w:val="en-US" w:eastAsia="nb-NO"/>
        </w:rPr>
        <w:t>74</w:t>
      </w:r>
      <w:r w:rsidR="00CD542F" w:rsidRPr="00427C81">
        <w:rPr>
          <w:rFonts w:ascii="Arial" w:eastAsiaTheme="minorHAnsi" w:hAnsi="Arial" w:cs="Arial"/>
          <w:sz w:val="20"/>
          <w:szCs w:val="20"/>
          <w:lang w:val="en-US" w:eastAsia="nb-NO"/>
        </w:rPr>
        <w:t xml:space="preserve"> NOK/SU </w:t>
      </w:r>
      <w:r w:rsidR="009302C5" w:rsidRPr="00427C81">
        <w:rPr>
          <w:rFonts w:ascii="Arial" w:eastAsiaTheme="minorHAnsi" w:hAnsi="Arial" w:cs="Arial"/>
          <w:sz w:val="20"/>
          <w:szCs w:val="20"/>
          <w:lang w:val="en-US" w:eastAsia="nb-NO"/>
        </w:rPr>
        <w:t>shows</w:t>
      </w:r>
      <w:r w:rsidRPr="00427C81">
        <w:rPr>
          <w:rFonts w:ascii="Arial" w:eastAsiaTheme="minorHAnsi" w:hAnsi="Arial" w:cs="Arial"/>
          <w:sz w:val="20"/>
          <w:szCs w:val="20"/>
          <w:lang w:val="en-US" w:eastAsia="nb-NO"/>
        </w:rPr>
        <w:t xml:space="preserve"> </w:t>
      </w:r>
      <w:r w:rsidR="00CD542F" w:rsidRPr="00427C81">
        <w:rPr>
          <w:rFonts w:ascii="Arial" w:eastAsiaTheme="minorHAnsi" w:hAnsi="Arial" w:cs="Arial"/>
          <w:sz w:val="20"/>
          <w:szCs w:val="20"/>
          <w:lang w:val="en-US" w:eastAsia="nb-NO"/>
        </w:rPr>
        <w:t xml:space="preserve">the effect of the revenue losses </w:t>
      </w:r>
      <w:r w:rsidR="00371D0D" w:rsidRPr="00427C81">
        <w:rPr>
          <w:rFonts w:ascii="Arial" w:eastAsiaTheme="minorHAnsi" w:hAnsi="Arial" w:cs="Arial"/>
          <w:sz w:val="20"/>
          <w:szCs w:val="20"/>
          <w:lang w:val="en-US" w:eastAsia="nb-NO"/>
        </w:rPr>
        <w:t>(9</w:t>
      </w:r>
      <w:r w:rsidR="000957A0">
        <w:rPr>
          <w:rFonts w:ascii="Arial" w:eastAsiaTheme="minorHAnsi" w:hAnsi="Arial" w:cs="Arial"/>
          <w:sz w:val="20"/>
          <w:szCs w:val="20"/>
          <w:lang w:val="en-US" w:eastAsia="nb-NO"/>
        </w:rPr>
        <w:t>30</w:t>
      </w:r>
      <w:r w:rsidR="00371D0D" w:rsidRPr="00427C81">
        <w:rPr>
          <w:rFonts w:ascii="Arial" w:eastAsiaTheme="minorHAnsi" w:hAnsi="Arial" w:cs="Arial"/>
          <w:sz w:val="20"/>
          <w:szCs w:val="20"/>
          <w:lang w:val="en-US" w:eastAsia="nb-NO"/>
        </w:rPr>
        <w:t>,</w:t>
      </w:r>
      <w:r w:rsidR="000957A0">
        <w:rPr>
          <w:rFonts w:ascii="Arial" w:eastAsiaTheme="minorHAnsi" w:hAnsi="Arial" w:cs="Arial"/>
          <w:sz w:val="20"/>
          <w:szCs w:val="20"/>
          <w:lang w:val="en-US" w:eastAsia="nb-NO"/>
        </w:rPr>
        <w:t>0</w:t>
      </w:r>
      <w:r w:rsidR="00371D0D" w:rsidRPr="00427C81">
        <w:rPr>
          <w:rFonts w:ascii="Arial" w:eastAsiaTheme="minorHAnsi" w:hAnsi="Arial" w:cs="Arial"/>
          <w:sz w:val="20"/>
          <w:szCs w:val="20"/>
          <w:lang w:val="en-US" w:eastAsia="nb-NO"/>
        </w:rPr>
        <w:t xml:space="preserve"> MNOK) </w:t>
      </w:r>
      <w:r w:rsidR="00CD542F" w:rsidRPr="00427C81">
        <w:rPr>
          <w:rFonts w:ascii="Arial" w:eastAsiaTheme="minorHAnsi" w:hAnsi="Arial" w:cs="Arial"/>
          <w:sz w:val="20"/>
          <w:szCs w:val="20"/>
          <w:lang w:val="en-US" w:eastAsia="nb-NO"/>
        </w:rPr>
        <w:t>both from item 13.7 Traffic adjustments (45,</w:t>
      </w:r>
      <w:r w:rsidR="001056D0" w:rsidRPr="00427C81">
        <w:rPr>
          <w:rFonts w:ascii="Arial" w:eastAsiaTheme="minorHAnsi" w:hAnsi="Arial" w:cs="Arial"/>
          <w:sz w:val="20"/>
          <w:szCs w:val="20"/>
          <w:lang w:val="en-US" w:eastAsia="nb-NO"/>
        </w:rPr>
        <w:t>2</w:t>
      </w:r>
      <w:r w:rsidR="00CD542F" w:rsidRPr="00427C81">
        <w:rPr>
          <w:rFonts w:ascii="Arial" w:eastAsiaTheme="minorHAnsi" w:hAnsi="Arial" w:cs="Arial"/>
          <w:sz w:val="20"/>
          <w:szCs w:val="20"/>
          <w:lang w:val="en-US" w:eastAsia="nb-NO"/>
        </w:rPr>
        <w:t xml:space="preserve"> MNOK) </w:t>
      </w:r>
      <w:r w:rsidR="006249E7" w:rsidRPr="00427C81">
        <w:rPr>
          <w:rFonts w:ascii="Arial" w:eastAsiaTheme="minorHAnsi" w:hAnsi="Arial" w:cs="Arial"/>
          <w:sz w:val="20"/>
          <w:szCs w:val="20"/>
          <w:lang w:val="en-US" w:eastAsia="nb-NO"/>
        </w:rPr>
        <w:t xml:space="preserve">to be </w:t>
      </w:r>
      <w:r w:rsidR="00CD542F" w:rsidRPr="00427C81">
        <w:rPr>
          <w:rFonts w:ascii="Arial" w:eastAsiaTheme="minorHAnsi" w:hAnsi="Arial" w:cs="Arial"/>
          <w:sz w:val="20"/>
          <w:szCs w:val="20"/>
          <w:lang w:val="en-US" w:eastAsia="nb-NO"/>
        </w:rPr>
        <w:t xml:space="preserve">carried forward to 2022 and 2023, and from </w:t>
      </w:r>
      <w:r w:rsidR="006249E7" w:rsidRPr="00427C81">
        <w:rPr>
          <w:rFonts w:ascii="Arial" w:eastAsiaTheme="minorHAnsi" w:hAnsi="Arial" w:cs="Arial"/>
          <w:sz w:val="20"/>
          <w:szCs w:val="20"/>
          <w:lang w:val="en-US" w:eastAsia="nb-NO"/>
        </w:rPr>
        <w:t xml:space="preserve">item </w:t>
      </w:r>
      <w:r w:rsidR="00CD542F" w:rsidRPr="00427C81">
        <w:rPr>
          <w:rFonts w:ascii="Arial" w:eastAsiaTheme="minorHAnsi" w:hAnsi="Arial" w:cs="Arial"/>
          <w:sz w:val="20"/>
          <w:szCs w:val="20"/>
          <w:lang w:val="en-US" w:eastAsia="nb-NO"/>
        </w:rPr>
        <w:t>13.10 difference in revenue from temporary application of unit rate (8</w:t>
      </w:r>
      <w:r w:rsidR="00873047" w:rsidRPr="00427C81">
        <w:rPr>
          <w:rFonts w:ascii="Arial" w:eastAsiaTheme="minorHAnsi" w:hAnsi="Arial" w:cs="Arial"/>
          <w:sz w:val="20"/>
          <w:szCs w:val="20"/>
          <w:lang w:val="en-US" w:eastAsia="nb-NO"/>
        </w:rPr>
        <w:t>8</w:t>
      </w:r>
      <w:r w:rsidR="000957A0">
        <w:rPr>
          <w:rFonts w:ascii="Arial" w:eastAsiaTheme="minorHAnsi" w:hAnsi="Arial" w:cs="Arial"/>
          <w:sz w:val="20"/>
          <w:szCs w:val="20"/>
          <w:lang w:val="en-US" w:eastAsia="nb-NO"/>
        </w:rPr>
        <w:t>4</w:t>
      </w:r>
      <w:r w:rsidR="00CD542F" w:rsidRPr="00427C81">
        <w:rPr>
          <w:rFonts w:ascii="Arial" w:eastAsiaTheme="minorHAnsi" w:hAnsi="Arial" w:cs="Arial"/>
          <w:sz w:val="20"/>
          <w:szCs w:val="20"/>
          <w:lang w:val="en-US" w:eastAsia="nb-NO"/>
        </w:rPr>
        <w:t>,</w:t>
      </w:r>
      <w:r w:rsidR="00873047" w:rsidRPr="00427C81">
        <w:rPr>
          <w:rFonts w:ascii="Arial" w:eastAsiaTheme="minorHAnsi" w:hAnsi="Arial" w:cs="Arial"/>
          <w:sz w:val="20"/>
          <w:szCs w:val="20"/>
          <w:lang w:val="en-US" w:eastAsia="nb-NO"/>
        </w:rPr>
        <w:t>8</w:t>
      </w:r>
      <w:r w:rsidR="00CD542F" w:rsidRPr="00427C81">
        <w:rPr>
          <w:rFonts w:ascii="Arial" w:eastAsiaTheme="minorHAnsi" w:hAnsi="Arial" w:cs="Arial"/>
          <w:sz w:val="20"/>
          <w:szCs w:val="20"/>
          <w:lang w:val="en-US" w:eastAsia="nb-NO"/>
        </w:rPr>
        <w:t xml:space="preserve"> MNOK) not </w:t>
      </w:r>
      <w:r w:rsidR="006249E7" w:rsidRPr="00427C81">
        <w:rPr>
          <w:rFonts w:ascii="Arial" w:eastAsiaTheme="minorHAnsi" w:hAnsi="Arial" w:cs="Arial"/>
          <w:sz w:val="20"/>
          <w:szCs w:val="20"/>
          <w:lang w:val="en-US" w:eastAsia="nb-NO"/>
        </w:rPr>
        <w:t xml:space="preserve">to be </w:t>
      </w:r>
      <w:r w:rsidR="00CD542F" w:rsidRPr="00427C81">
        <w:rPr>
          <w:rFonts w:ascii="Arial" w:eastAsiaTheme="minorHAnsi" w:hAnsi="Arial" w:cs="Arial"/>
          <w:sz w:val="20"/>
          <w:szCs w:val="20"/>
          <w:lang w:val="en-US" w:eastAsia="nb-NO"/>
        </w:rPr>
        <w:t>carried forward to 2023-202</w:t>
      </w:r>
      <w:r w:rsidR="006811A1" w:rsidRPr="00427C81">
        <w:rPr>
          <w:rFonts w:ascii="Arial" w:eastAsiaTheme="minorHAnsi" w:hAnsi="Arial" w:cs="Arial"/>
          <w:sz w:val="20"/>
          <w:szCs w:val="20"/>
          <w:lang w:val="en-US" w:eastAsia="nb-NO"/>
        </w:rPr>
        <w:t>9</w:t>
      </w:r>
      <w:r w:rsidR="009302C5" w:rsidRPr="00427C81">
        <w:rPr>
          <w:rFonts w:ascii="Arial" w:eastAsiaTheme="minorHAnsi" w:hAnsi="Arial" w:cs="Arial"/>
          <w:sz w:val="20"/>
          <w:szCs w:val="20"/>
          <w:lang w:val="en-US" w:eastAsia="nb-NO"/>
        </w:rPr>
        <w:t>.</w:t>
      </w:r>
    </w:p>
    <w:p w14:paraId="6C2DC726" w14:textId="5121650B" w:rsidR="006249E7" w:rsidRPr="00427C81" w:rsidRDefault="006249E7" w:rsidP="006249E7">
      <w:pPr>
        <w:spacing w:after="0"/>
        <w:rPr>
          <w:rFonts w:ascii="Arial" w:eastAsiaTheme="minorHAnsi" w:hAnsi="Arial" w:cs="Arial"/>
          <w:color w:val="000000"/>
          <w:sz w:val="20"/>
          <w:szCs w:val="20"/>
          <w:lang w:val="en-US" w:eastAsia="nb-NO"/>
        </w:rPr>
      </w:pPr>
      <w:r w:rsidRPr="00427C81">
        <w:rPr>
          <w:rFonts w:ascii="Arial" w:eastAsiaTheme="minorHAnsi" w:hAnsi="Arial" w:cs="Arial"/>
          <w:color w:val="000000"/>
          <w:sz w:val="20"/>
          <w:szCs w:val="20"/>
          <w:lang w:val="en-US" w:eastAsia="nb-NO"/>
        </w:rPr>
        <w:t>To mitigate the consequences of the pandemic on the aviation industry the Norwegian Ministry of Transport has made the following decisions:</w:t>
      </w:r>
    </w:p>
    <w:p w14:paraId="71CF7E71" w14:textId="6CCA8037" w:rsidR="001961C0" w:rsidRPr="00427C81" w:rsidRDefault="001961C0" w:rsidP="00427C81">
      <w:pPr>
        <w:rPr>
          <w:rFonts w:ascii="Arial" w:eastAsiaTheme="minorHAnsi" w:hAnsi="Arial" w:cs="Arial"/>
          <w:sz w:val="20"/>
          <w:szCs w:val="20"/>
          <w:lang w:val="en-US" w:eastAsia="nb-NO"/>
        </w:rPr>
      </w:pPr>
      <w:r w:rsidRPr="00427C81">
        <w:rPr>
          <w:rFonts w:ascii="Arial" w:eastAsiaTheme="minorHAnsi" w:hAnsi="Arial" w:cs="Arial"/>
          <w:sz w:val="20"/>
          <w:szCs w:val="20"/>
          <w:lang w:val="en-US" w:eastAsia="nb-NO"/>
        </w:rPr>
        <w:t xml:space="preserve">With reference to (EU)2019/317 Article 29(6), the </w:t>
      </w:r>
      <w:proofErr w:type="spellStart"/>
      <w:r w:rsidRPr="00427C81">
        <w:rPr>
          <w:rFonts w:ascii="Arial" w:eastAsiaTheme="minorHAnsi" w:hAnsi="Arial" w:cs="Arial"/>
          <w:sz w:val="20"/>
          <w:szCs w:val="20"/>
          <w:lang w:val="en-US" w:eastAsia="nb-NO"/>
        </w:rPr>
        <w:t>en</w:t>
      </w:r>
      <w:proofErr w:type="spellEnd"/>
      <w:r w:rsidRPr="00427C81">
        <w:rPr>
          <w:rFonts w:ascii="Arial" w:eastAsiaTheme="minorHAnsi" w:hAnsi="Arial" w:cs="Arial"/>
          <w:sz w:val="20"/>
          <w:szCs w:val="20"/>
          <w:lang w:val="en-US" w:eastAsia="nb-NO"/>
        </w:rPr>
        <w:t xml:space="preserve">-route unit rate for 2022 will be kept unchanged in real terms compared to the previous year. With an expected inflation rate of 1,9 % according to Statistics Norway the </w:t>
      </w:r>
      <w:proofErr w:type="spellStart"/>
      <w:r w:rsidRPr="00427C81">
        <w:rPr>
          <w:rFonts w:ascii="Arial" w:eastAsiaTheme="minorHAnsi" w:hAnsi="Arial" w:cs="Arial"/>
          <w:sz w:val="20"/>
          <w:szCs w:val="20"/>
          <w:lang w:val="en-US" w:eastAsia="nb-NO"/>
        </w:rPr>
        <w:t>en</w:t>
      </w:r>
      <w:proofErr w:type="spellEnd"/>
      <w:r w:rsidRPr="00427C81">
        <w:rPr>
          <w:rFonts w:ascii="Arial" w:eastAsiaTheme="minorHAnsi" w:hAnsi="Arial" w:cs="Arial"/>
          <w:sz w:val="20"/>
          <w:szCs w:val="20"/>
          <w:lang w:val="en-US" w:eastAsia="nb-NO"/>
        </w:rPr>
        <w:t>-route unit rate is re-calculated to 546,</w:t>
      </w:r>
      <w:r w:rsidR="008240E2" w:rsidRPr="00427C81">
        <w:rPr>
          <w:rFonts w:ascii="Arial" w:eastAsiaTheme="minorHAnsi" w:hAnsi="Arial" w:cs="Arial"/>
          <w:sz w:val="20"/>
          <w:szCs w:val="20"/>
          <w:lang w:val="en-US" w:eastAsia="nb-NO"/>
        </w:rPr>
        <w:t>33</w:t>
      </w:r>
      <w:r w:rsidRPr="00427C81">
        <w:rPr>
          <w:rFonts w:ascii="Arial" w:eastAsiaTheme="minorHAnsi" w:hAnsi="Arial" w:cs="Arial"/>
          <w:sz w:val="20"/>
          <w:szCs w:val="20"/>
          <w:lang w:val="en-US" w:eastAsia="nb-NO"/>
        </w:rPr>
        <w:t xml:space="preserve"> NOK/SU, a reduction as per Art. 29(6) of -</w:t>
      </w:r>
      <w:r w:rsidR="00873047" w:rsidRPr="00427C81">
        <w:rPr>
          <w:rFonts w:ascii="Arial" w:eastAsiaTheme="minorHAnsi" w:hAnsi="Arial" w:cs="Arial"/>
          <w:sz w:val="20"/>
          <w:szCs w:val="20"/>
          <w:lang w:val="en-US" w:eastAsia="nb-NO"/>
        </w:rPr>
        <w:t>6</w:t>
      </w:r>
      <w:r w:rsidR="000957A0">
        <w:rPr>
          <w:rFonts w:ascii="Arial" w:eastAsiaTheme="minorHAnsi" w:hAnsi="Arial" w:cs="Arial"/>
          <w:sz w:val="20"/>
          <w:szCs w:val="20"/>
          <w:lang w:val="en-US" w:eastAsia="nb-NO"/>
        </w:rPr>
        <w:t>1</w:t>
      </w:r>
      <w:r w:rsidR="00A24C05" w:rsidRPr="00427C81">
        <w:rPr>
          <w:rFonts w:ascii="Arial" w:eastAsiaTheme="minorHAnsi" w:hAnsi="Arial" w:cs="Arial"/>
          <w:sz w:val="20"/>
          <w:szCs w:val="20"/>
          <w:lang w:val="en-US" w:eastAsia="nb-NO"/>
        </w:rPr>
        <w:t>,</w:t>
      </w:r>
      <w:r w:rsidR="004F4C12">
        <w:rPr>
          <w:rFonts w:ascii="Arial" w:eastAsiaTheme="minorHAnsi" w:hAnsi="Arial" w:cs="Arial"/>
          <w:sz w:val="20"/>
          <w:szCs w:val="20"/>
          <w:lang w:val="en-US" w:eastAsia="nb-NO"/>
        </w:rPr>
        <w:t>21</w:t>
      </w:r>
      <w:r w:rsidRPr="00427C81">
        <w:rPr>
          <w:rFonts w:ascii="Arial" w:eastAsiaTheme="minorHAnsi" w:hAnsi="Arial" w:cs="Arial"/>
          <w:sz w:val="20"/>
          <w:szCs w:val="20"/>
          <w:lang w:val="en-US" w:eastAsia="nb-NO"/>
        </w:rPr>
        <w:t xml:space="preserve"> NOK/SU. The impact for </w:t>
      </w:r>
      <w:proofErr w:type="spellStart"/>
      <w:r w:rsidRPr="00427C81">
        <w:rPr>
          <w:rFonts w:ascii="Arial" w:eastAsiaTheme="minorHAnsi" w:hAnsi="Arial" w:cs="Arial"/>
          <w:sz w:val="20"/>
          <w:szCs w:val="20"/>
          <w:lang w:val="en-US" w:eastAsia="nb-NO"/>
        </w:rPr>
        <w:t>Avinor</w:t>
      </w:r>
      <w:proofErr w:type="spellEnd"/>
      <w:r w:rsidRPr="00427C81">
        <w:rPr>
          <w:rFonts w:ascii="Arial" w:eastAsiaTheme="minorHAnsi" w:hAnsi="Arial" w:cs="Arial"/>
          <w:sz w:val="20"/>
          <w:szCs w:val="20"/>
          <w:lang w:val="en-US" w:eastAsia="nb-NO"/>
        </w:rPr>
        <w:t xml:space="preserve"> ANS is an expected revenue loss (deficit) for the </w:t>
      </w:r>
      <w:proofErr w:type="spellStart"/>
      <w:r w:rsidRPr="00427C81">
        <w:rPr>
          <w:rFonts w:ascii="Arial" w:eastAsiaTheme="minorHAnsi" w:hAnsi="Arial" w:cs="Arial"/>
          <w:sz w:val="20"/>
          <w:szCs w:val="20"/>
          <w:lang w:val="en-US" w:eastAsia="nb-NO"/>
        </w:rPr>
        <w:t>en</w:t>
      </w:r>
      <w:proofErr w:type="spellEnd"/>
      <w:r w:rsidRPr="00427C81">
        <w:rPr>
          <w:rFonts w:ascii="Arial" w:eastAsiaTheme="minorHAnsi" w:hAnsi="Arial" w:cs="Arial"/>
          <w:sz w:val="20"/>
          <w:szCs w:val="20"/>
          <w:lang w:val="en-US" w:eastAsia="nb-NO"/>
        </w:rPr>
        <w:t>-route services of 1</w:t>
      </w:r>
      <w:r w:rsidR="00873047" w:rsidRPr="00427C81">
        <w:rPr>
          <w:rFonts w:ascii="Arial" w:eastAsiaTheme="minorHAnsi" w:hAnsi="Arial" w:cs="Arial"/>
          <w:sz w:val="20"/>
          <w:szCs w:val="20"/>
          <w:lang w:val="en-US" w:eastAsia="nb-NO"/>
        </w:rPr>
        <w:t>2</w:t>
      </w:r>
      <w:r w:rsidR="004F4C12">
        <w:rPr>
          <w:rFonts w:ascii="Arial" w:eastAsiaTheme="minorHAnsi" w:hAnsi="Arial" w:cs="Arial"/>
          <w:sz w:val="20"/>
          <w:szCs w:val="20"/>
          <w:lang w:val="en-US" w:eastAsia="nb-NO"/>
        </w:rPr>
        <w:t>5</w:t>
      </w:r>
      <w:r w:rsidR="00873047" w:rsidRPr="00427C81">
        <w:rPr>
          <w:rFonts w:ascii="Arial" w:eastAsiaTheme="minorHAnsi" w:hAnsi="Arial" w:cs="Arial"/>
          <w:sz w:val="20"/>
          <w:szCs w:val="20"/>
          <w:lang w:val="en-US" w:eastAsia="nb-NO"/>
        </w:rPr>
        <w:t>,</w:t>
      </w:r>
      <w:r w:rsidR="004F4C12">
        <w:rPr>
          <w:rFonts w:ascii="Arial" w:eastAsiaTheme="minorHAnsi" w:hAnsi="Arial" w:cs="Arial"/>
          <w:sz w:val="20"/>
          <w:szCs w:val="20"/>
          <w:lang w:val="en-US" w:eastAsia="nb-NO"/>
        </w:rPr>
        <w:t>3</w:t>
      </w:r>
      <w:r w:rsidRPr="00427C81">
        <w:rPr>
          <w:rFonts w:ascii="Arial" w:eastAsiaTheme="minorHAnsi" w:hAnsi="Arial" w:cs="Arial"/>
          <w:sz w:val="20"/>
          <w:szCs w:val="20"/>
          <w:lang w:val="en-US" w:eastAsia="nb-NO"/>
        </w:rPr>
        <w:t xml:space="preserve"> MNOK in 2022, compared with the unit rate </w:t>
      </w:r>
      <w:r w:rsidR="00D571ED" w:rsidRPr="00427C81">
        <w:rPr>
          <w:rFonts w:ascii="Arial" w:eastAsiaTheme="minorHAnsi" w:hAnsi="Arial" w:cs="Arial"/>
          <w:sz w:val="20"/>
          <w:szCs w:val="20"/>
          <w:lang w:val="en-US" w:eastAsia="nb-NO"/>
        </w:rPr>
        <w:t>calculated</w:t>
      </w:r>
      <w:r w:rsidRPr="00427C81">
        <w:rPr>
          <w:rFonts w:ascii="Arial" w:eastAsiaTheme="minorHAnsi" w:hAnsi="Arial" w:cs="Arial"/>
          <w:sz w:val="20"/>
          <w:szCs w:val="20"/>
          <w:lang w:val="en-US" w:eastAsia="nb-NO"/>
        </w:rPr>
        <w:t xml:space="preserve"> in accordance with (EU) 2019/317, Article 25 (2)</w:t>
      </w:r>
    </w:p>
    <w:p w14:paraId="52BCD529" w14:textId="385F31C2" w:rsidR="006811A1" w:rsidRDefault="002E7781" w:rsidP="006811A1">
      <w:pPr>
        <w:pStyle w:val="Listeavsnitt"/>
        <w:ind w:left="360"/>
        <w:rPr>
          <w:rFonts w:ascii="Arial" w:eastAsiaTheme="minorHAnsi" w:hAnsi="Arial" w:cs="Arial"/>
          <w:sz w:val="20"/>
          <w:szCs w:val="20"/>
          <w:lang w:val="en-US" w:eastAsia="nb-NO"/>
        </w:rPr>
      </w:pPr>
      <w:r>
        <w:rPr>
          <w:rFonts w:ascii="Arial" w:eastAsiaTheme="minorHAnsi" w:hAnsi="Arial" w:cs="Arial"/>
          <w:sz w:val="20"/>
          <w:szCs w:val="20"/>
          <w:lang w:val="en-US" w:eastAsia="nb-NO"/>
        </w:rPr>
        <w:object w:dxaOrig="1539" w:dyaOrig="997" w14:anchorId="3E3C9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4" o:title=""/>
          </v:shape>
          <o:OLEObject Type="Embed" ProgID="AcroExch.Document.11" ShapeID="_x0000_i1025" DrawAspect="Icon" ObjectID="_1698473099" r:id="rId15"/>
        </w:object>
      </w:r>
    </w:p>
    <w:p w14:paraId="051914DA" w14:textId="48FF06A2" w:rsidR="00873047" w:rsidRPr="00427C81" w:rsidRDefault="001961C0" w:rsidP="002C4F49">
      <w:pPr>
        <w:spacing w:before="0" w:after="200" w:line="276" w:lineRule="auto"/>
        <w:jc w:val="left"/>
        <w:rPr>
          <w:rFonts w:ascii="Arial" w:hAnsi="Arial" w:cs="Arial"/>
          <w:color w:val="17365D"/>
          <w:sz w:val="20"/>
          <w:szCs w:val="20"/>
        </w:rPr>
      </w:pPr>
      <w:proofErr w:type="gramStart"/>
      <w:r w:rsidRPr="00427C81">
        <w:rPr>
          <w:rFonts w:ascii="Arial" w:eastAsiaTheme="minorHAnsi" w:hAnsi="Arial" w:cs="Arial"/>
          <w:sz w:val="20"/>
          <w:szCs w:val="20"/>
          <w:lang w:val="en-US" w:eastAsia="nb-NO"/>
        </w:rPr>
        <w:t>With regard to</w:t>
      </w:r>
      <w:proofErr w:type="gramEnd"/>
      <w:r w:rsidRPr="00427C81">
        <w:rPr>
          <w:rFonts w:ascii="Arial" w:eastAsiaTheme="minorHAnsi" w:hAnsi="Arial" w:cs="Arial"/>
          <w:sz w:val="20"/>
          <w:szCs w:val="20"/>
          <w:lang w:val="en-US" w:eastAsia="nb-NO"/>
        </w:rPr>
        <w:t xml:space="preserve"> the calculations leading to a determined unit cost/unit rate for the years 2023 and 2024, the Norwegian Ministry of transport reserves the right to decide setting unit rates at a lower level in order to further stimulate the recovery of traffic post covid-19. In that case, this will be communicated in the autumn 2022 (UR 2023) and correspondingly in the autumn 2023 (UR 2024)</w:t>
      </w:r>
    </w:p>
    <w:p w14:paraId="75BCF0C1" w14:textId="4057A650" w:rsidR="001056D0" w:rsidRDefault="000957A0" w:rsidP="00873047">
      <w:pPr>
        <w:pStyle w:val="Default"/>
        <w:spacing w:after="200" w:line="276" w:lineRule="auto"/>
        <w:rPr>
          <w:rFonts w:ascii="Arial" w:hAnsi="Arial" w:cs="Arial"/>
          <w:color w:val="17365D"/>
          <w:sz w:val="20"/>
          <w:szCs w:val="20"/>
        </w:rPr>
      </w:pPr>
      <w:r w:rsidRPr="000957A0">
        <w:rPr>
          <w:noProof/>
        </w:rPr>
        <w:drawing>
          <wp:inline distT="0" distB="0" distL="0" distR="0" wp14:anchorId="05456FC1" wp14:editId="4AF6E226">
            <wp:extent cx="5759450" cy="2030095"/>
            <wp:effectExtent l="0" t="0" r="0" b="825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030095"/>
                    </a:xfrm>
                    <a:prstGeom prst="rect">
                      <a:avLst/>
                    </a:prstGeom>
                    <a:noFill/>
                    <a:ln>
                      <a:noFill/>
                    </a:ln>
                  </pic:spPr>
                </pic:pic>
              </a:graphicData>
            </a:graphic>
          </wp:inline>
        </w:drawing>
      </w:r>
    </w:p>
    <w:p w14:paraId="3450E774" w14:textId="74B3EC8E" w:rsidR="00260924" w:rsidRDefault="00CC6EAF" w:rsidP="00873047">
      <w:pPr>
        <w:pStyle w:val="Default"/>
        <w:spacing w:after="200" w:line="276" w:lineRule="auto"/>
        <w:rPr>
          <w:rFonts w:ascii="Arial" w:hAnsi="Arial" w:cs="Arial"/>
          <w:color w:val="17365D"/>
          <w:sz w:val="20"/>
          <w:szCs w:val="20"/>
        </w:rPr>
      </w:pPr>
      <w:r w:rsidRPr="00CC6EAF">
        <w:rPr>
          <w:noProof/>
        </w:rPr>
        <w:drawing>
          <wp:inline distT="0" distB="0" distL="0" distR="0" wp14:anchorId="71EFA5B2" wp14:editId="6A8A7A75">
            <wp:extent cx="5759450" cy="1155700"/>
            <wp:effectExtent l="0" t="0" r="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155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9060"/>
      </w:tblGrid>
      <w:tr w:rsidR="001F08BE" w:rsidRPr="00CA5B88" w14:paraId="170F1E66" w14:textId="77777777" w:rsidTr="004A41E5">
        <w:tc>
          <w:tcPr>
            <w:tcW w:w="9060" w:type="dxa"/>
            <w:shd w:val="clear" w:color="auto" w:fill="92D050"/>
          </w:tcPr>
          <w:p w14:paraId="4C594093" w14:textId="0D3B8066" w:rsidR="001F08BE" w:rsidRPr="00CA5B88" w:rsidRDefault="00873047" w:rsidP="001F08BE">
            <w:pPr>
              <w:pStyle w:val="Default"/>
              <w:spacing w:before="60" w:after="60"/>
              <w:jc w:val="both"/>
              <w:rPr>
                <w:rFonts w:ascii="Arial" w:hAnsi="Arial" w:cs="Arial"/>
                <w:b/>
                <w:color w:val="17365D"/>
                <w:sz w:val="20"/>
                <w:szCs w:val="20"/>
              </w:rPr>
            </w:pPr>
            <w:r>
              <w:rPr>
                <w:rFonts w:ascii="Arial" w:hAnsi="Arial" w:cs="Arial"/>
                <w:color w:val="17365D"/>
                <w:sz w:val="20"/>
                <w:szCs w:val="20"/>
              </w:rPr>
              <w:lastRenderedPageBreak/>
              <w:br w:type="page"/>
            </w:r>
            <w:r w:rsidR="001F08BE">
              <w:rPr>
                <w:rFonts w:ascii="Arial" w:hAnsi="Arial" w:cs="Arial"/>
                <w:b/>
                <w:color w:val="17365D"/>
                <w:sz w:val="20"/>
                <w:szCs w:val="20"/>
              </w:rPr>
              <w:t>k</w:t>
            </w:r>
            <w:r w:rsidR="001F08BE" w:rsidRPr="00CA5B88">
              <w:rPr>
                <w:rFonts w:ascii="Arial" w:hAnsi="Arial" w:cs="Arial"/>
                <w:b/>
                <w:color w:val="17365D"/>
                <w:sz w:val="20"/>
                <w:szCs w:val="20"/>
              </w:rPr>
              <w:t xml:space="preserve">) </w:t>
            </w:r>
            <w:r w:rsidR="001F08BE">
              <w:rPr>
                <w:rFonts w:ascii="Arial" w:hAnsi="Arial" w:cs="Arial"/>
                <w:b/>
                <w:color w:val="17365D"/>
                <w:sz w:val="20"/>
                <w:szCs w:val="20"/>
              </w:rPr>
              <w:t>I</w:t>
            </w:r>
            <w:r w:rsidR="001F08BE" w:rsidRPr="001F08BE">
              <w:rPr>
                <w:rFonts w:ascii="Arial" w:hAnsi="Arial" w:cs="Arial"/>
                <w:b/>
                <w:color w:val="17365D"/>
                <w:sz w:val="20"/>
                <w:szCs w:val="20"/>
              </w:rPr>
              <w:t>nformation and breakdown of the adjustments relating to previous reference periods impacting the unit rate calculation</w:t>
            </w:r>
            <w:r w:rsidR="001F08BE" w:rsidRPr="00556F7D">
              <w:rPr>
                <w:rFonts w:ascii="Arial" w:hAnsi="Arial" w:cs="Arial"/>
                <w:b/>
                <w:color w:val="17365D"/>
                <w:sz w:val="20"/>
                <w:szCs w:val="20"/>
              </w:rPr>
              <w:t>;</w:t>
            </w:r>
          </w:p>
        </w:tc>
      </w:tr>
    </w:tbl>
    <w:p w14:paraId="661F58AE" w14:textId="20061741" w:rsidR="000015BA" w:rsidRDefault="000015BA" w:rsidP="000015BA">
      <w:pPr>
        <w:spacing w:before="0" w:after="0" w:line="276" w:lineRule="auto"/>
        <w:jc w:val="left"/>
      </w:pPr>
    </w:p>
    <w:p w14:paraId="55458853" w14:textId="2CE843E1" w:rsidR="00982A28" w:rsidRDefault="000957A0" w:rsidP="000015BA">
      <w:pPr>
        <w:spacing w:before="0" w:after="0" w:line="276" w:lineRule="auto"/>
        <w:jc w:val="left"/>
      </w:pPr>
      <w:r w:rsidRPr="000957A0">
        <w:rPr>
          <w:noProof/>
        </w:rPr>
        <w:drawing>
          <wp:inline distT="0" distB="0" distL="0" distR="0" wp14:anchorId="21FC171D" wp14:editId="4A532F83">
            <wp:extent cx="5759450" cy="7805420"/>
            <wp:effectExtent l="0" t="0" r="0" b="508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7805420"/>
                    </a:xfrm>
                    <a:prstGeom prst="rect">
                      <a:avLst/>
                    </a:prstGeom>
                    <a:noFill/>
                    <a:ln>
                      <a:noFill/>
                    </a:ln>
                  </pic:spPr>
                </pic:pic>
              </a:graphicData>
            </a:graphic>
          </wp:inline>
        </w:drawing>
      </w:r>
    </w:p>
    <w:p w14:paraId="71F62149" w14:textId="77777777" w:rsidR="000957A0" w:rsidRDefault="000957A0" w:rsidP="000015BA">
      <w:pPr>
        <w:spacing w:before="0" w:after="0" w:line="276" w:lineRule="auto"/>
        <w:jc w:val="left"/>
      </w:pPr>
    </w:p>
    <w:p w14:paraId="1E40CD81" w14:textId="6722BA6A" w:rsidR="007D0EF4" w:rsidRDefault="000957A0" w:rsidP="000015BA">
      <w:pPr>
        <w:spacing w:before="0" w:after="0" w:line="276" w:lineRule="auto"/>
        <w:jc w:val="left"/>
        <w:rPr>
          <w:iCs/>
          <w:lang w:val="en-US" w:eastAsia="de-DE"/>
        </w:rPr>
      </w:pPr>
      <w:r w:rsidRPr="000957A0">
        <w:rPr>
          <w:noProof/>
        </w:rPr>
        <w:lastRenderedPageBreak/>
        <w:drawing>
          <wp:inline distT="0" distB="0" distL="0" distR="0" wp14:anchorId="0B5AF2B8" wp14:editId="4CF27387">
            <wp:extent cx="5759450" cy="579628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5796280"/>
                    </a:xfrm>
                    <a:prstGeom prst="rect">
                      <a:avLst/>
                    </a:prstGeom>
                    <a:noFill/>
                    <a:ln>
                      <a:noFill/>
                    </a:ln>
                  </pic:spPr>
                </pic:pic>
              </a:graphicData>
            </a:graphic>
          </wp:inline>
        </w:drawing>
      </w:r>
    </w:p>
    <w:p w14:paraId="534C564C" w14:textId="77777777" w:rsidR="00AA5DE2" w:rsidRDefault="00AA5DE2" w:rsidP="00F12A75">
      <w:pPr>
        <w:pStyle w:val="Default"/>
        <w:jc w:val="both"/>
        <w:rPr>
          <w:rFonts w:ascii="Arial" w:hAnsi="Arial" w:cs="Arial"/>
          <w:b/>
          <w:bCs/>
          <w:color w:val="auto"/>
          <w:sz w:val="20"/>
          <w:szCs w:val="20"/>
          <w:lang w:val="en-US"/>
        </w:rPr>
      </w:pPr>
    </w:p>
    <w:p w14:paraId="7B17929B" w14:textId="3B8408F5" w:rsidR="000E6EC3" w:rsidRPr="009020C7" w:rsidRDefault="000E6EC3" w:rsidP="00F12A75">
      <w:pPr>
        <w:pStyle w:val="Default"/>
        <w:jc w:val="both"/>
        <w:rPr>
          <w:rFonts w:ascii="Arial" w:hAnsi="Arial" w:cs="Arial"/>
          <w:b/>
          <w:bCs/>
          <w:color w:val="auto"/>
          <w:sz w:val="20"/>
          <w:szCs w:val="20"/>
          <w:lang w:val="en-US"/>
        </w:rPr>
      </w:pPr>
      <w:r w:rsidRPr="009020C7">
        <w:rPr>
          <w:rFonts w:ascii="Arial" w:hAnsi="Arial" w:cs="Arial"/>
          <w:b/>
          <w:bCs/>
          <w:color w:val="auto"/>
          <w:sz w:val="20"/>
          <w:szCs w:val="20"/>
          <w:lang w:val="en-US"/>
        </w:rPr>
        <w:t>Cost exempt from previous RPs - Pension Costs:</w:t>
      </w:r>
    </w:p>
    <w:p w14:paraId="601FA091" w14:textId="4AAA3DC6" w:rsidR="00F12A75" w:rsidRDefault="00F12A75" w:rsidP="00F12A75">
      <w:pPr>
        <w:pStyle w:val="Default"/>
        <w:jc w:val="both"/>
        <w:rPr>
          <w:rFonts w:ascii="Arial" w:hAnsi="Arial" w:cs="Arial"/>
          <w:color w:val="auto"/>
          <w:sz w:val="20"/>
          <w:szCs w:val="20"/>
          <w:lang w:val="en-US"/>
        </w:rPr>
      </w:pPr>
      <w:r w:rsidRPr="009020C7">
        <w:rPr>
          <w:rFonts w:ascii="Arial" w:hAnsi="Arial" w:cs="Arial"/>
          <w:color w:val="auto"/>
          <w:sz w:val="20"/>
          <w:szCs w:val="20"/>
          <w:lang w:val="en-US"/>
        </w:rPr>
        <w:t xml:space="preserve">In total pension costs claimed as exempted from cost sharing in the </w:t>
      </w:r>
      <w:proofErr w:type="spellStart"/>
      <w:r w:rsidRPr="009020C7">
        <w:rPr>
          <w:rFonts w:ascii="Arial" w:hAnsi="Arial" w:cs="Arial"/>
          <w:color w:val="auto"/>
          <w:sz w:val="20"/>
          <w:szCs w:val="20"/>
          <w:lang w:val="en-US"/>
        </w:rPr>
        <w:t>en</w:t>
      </w:r>
      <w:proofErr w:type="spellEnd"/>
      <w:r w:rsidR="00982A28">
        <w:rPr>
          <w:rFonts w:ascii="Arial" w:hAnsi="Arial" w:cs="Arial"/>
          <w:color w:val="auto"/>
          <w:sz w:val="20"/>
          <w:szCs w:val="20"/>
          <w:lang w:val="en-US"/>
        </w:rPr>
        <w:t xml:space="preserve"> </w:t>
      </w:r>
      <w:r w:rsidRPr="009020C7">
        <w:rPr>
          <w:rFonts w:ascii="Arial" w:hAnsi="Arial" w:cs="Arial"/>
          <w:color w:val="auto"/>
          <w:sz w:val="20"/>
          <w:szCs w:val="20"/>
          <w:lang w:val="en-US"/>
        </w:rPr>
        <w:t>route reporting tables amounts to 108</w:t>
      </w:r>
      <w:r w:rsidR="00982A28">
        <w:rPr>
          <w:rFonts w:ascii="Arial" w:hAnsi="Arial" w:cs="Arial"/>
          <w:color w:val="auto"/>
          <w:sz w:val="20"/>
          <w:szCs w:val="20"/>
          <w:lang w:val="en-US"/>
        </w:rPr>
        <w:t xml:space="preserve"> </w:t>
      </w:r>
      <w:r w:rsidRPr="009020C7">
        <w:rPr>
          <w:rFonts w:ascii="Arial" w:hAnsi="Arial" w:cs="Arial"/>
          <w:color w:val="auto"/>
          <w:sz w:val="20"/>
          <w:szCs w:val="20"/>
          <w:lang w:val="en-US"/>
        </w:rPr>
        <w:t xml:space="preserve">967 KNOK </w:t>
      </w:r>
      <w:r w:rsidR="00BF6D17" w:rsidRPr="009020C7">
        <w:rPr>
          <w:rFonts w:ascii="Arial" w:hAnsi="Arial" w:cs="Arial"/>
          <w:color w:val="auto"/>
          <w:sz w:val="20"/>
          <w:szCs w:val="20"/>
          <w:lang w:val="en-US"/>
        </w:rPr>
        <w:t xml:space="preserve">(unforeseeable changes in national pensions law) </w:t>
      </w:r>
      <w:r w:rsidRPr="009020C7">
        <w:rPr>
          <w:rFonts w:ascii="Arial" w:hAnsi="Arial" w:cs="Arial"/>
          <w:color w:val="auto"/>
          <w:sz w:val="20"/>
          <w:szCs w:val="20"/>
          <w:lang w:val="en-US"/>
        </w:rPr>
        <w:t xml:space="preserve">carried over from previous reference period, to be reimbursed </w:t>
      </w:r>
      <w:r w:rsidRPr="00544ABA">
        <w:rPr>
          <w:rFonts w:ascii="Arial" w:hAnsi="Arial" w:cs="Arial"/>
          <w:color w:val="auto"/>
          <w:sz w:val="20"/>
          <w:szCs w:val="20"/>
          <w:u w:val="single"/>
          <w:lang w:val="en-US"/>
        </w:rPr>
        <w:t>by</w:t>
      </w:r>
      <w:r w:rsidRPr="009020C7">
        <w:rPr>
          <w:rFonts w:ascii="Arial" w:hAnsi="Arial" w:cs="Arial"/>
          <w:color w:val="auto"/>
          <w:sz w:val="20"/>
          <w:szCs w:val="20"/>
          <w:lang w:val="en-US"/>
        </w:rPr>
        <w:t xml:space="preserve"> the airspace users. </w:t>
      </w:r>
      <w:r w:rsidR="00A3494D" w:rsidRPr="009020C7">
        <w:rPr>
          <w:rFonts w:ascii="Arial" w:hAnsi="Arial" w:cs="Arial"/>
          <w:color w:val="auto"/>
          <w:sz w:val="20"/>
          <w:szCs w:val="20"/>
          <w:lang w:val="en-US"/>
        </w:rPr>
        <w:t xml:space="preserve">Ref. </w:t>
      </w:r>
      <w:proofErr w:type="spellStart"/>
      <w:r w:rsidR="00982A28">
        <w:rPr>
          <w:rFonts w:ascii="Arial" w:hAnsi="Arial" w:cs="Arial"/>
          <w:color w:val="auto"/>
          <w:sz w:val="20"/>
          <w:szCs w:val="20"/>
          <w:lang w:val="en-US"/>
        </w:rPr>
        <w:t>en</w:t>
      </w:r>
      <w:proofErr w:type="spellEnd"/>
      <w:r w:rsidR="00982A28">
        <w:rPr>
          <w:rFonts w:ascii="Arial" w:hAnsi="Arial" w:cs="Arial"/>
          <w:color w:val="auto"/>
          <w:sz w:val="20"/>
          <w:szCs w:val="20"/>
          <w:lang w:val="en-US"/>
        </w:rPr>
        <w:t xml:space="preserve"> r</w:t>
      </w:r>
      <w:r w:rsidR="00A3494D" w:rsidRPr="009020C7">
        <w:rPr>
          <w:rFonts w:ascii="Arial" w:hAnsi="Arial" w:cs="Arial"/>
          <w:color w:val="auto"/>
          <w:sz w:val="20"/>
          <w:szCs w:val="20"/>
          <w:lang w:val="en-US"/>
        </w:rPr>
        <w:t xml:space="preserve">oute reporting tables sheet T3 ANSP </w:t>
      </w:r>
      <w:proofErr w:type="spellStart"/>
      <w:r w:rsidR="00A3494D" w:rsidRPr="009020C7">
        <w:rPr>
          <w:rFonts w:ascii="Arial" w:hAnsi="Arial" w:cs="Arial"/>
          <w:color w:val="auto"/>
          <w:sz w:val="20"/>
          <w:szCs w:val="20"/>
          <w:lang w:val="en-US"/>
        </w:rPr>
        <w:t>Avinor</w:t>
      </w:r>
      <w:proofErr w:type="spellEnd"/>
      <w:r w:rsidR="00BB045E" w:rsidRPr="009020C7">
        <w:rPr>
          <w:rFonts w:ascii="Arial" w:hAnsi="Arial" w:cs="Arial"/>
          <w:color w:val="auto"/>
          <w:sz w:val="20"/>
          <w:szCs w:val="20"/>
          <w:lang w:val="en-US"/>
        </w:rPr>
        <w:t>,</w:t>
      </w:r>
      <w:r w:rsidR="00A3494D" w:rsidRPr="009020C7">
        <w:rPr>
          <w:rFonts w:ascii="Arial" w:hAnsi="Arial" w:cs="Arial"/>
          <w:color w:val="auto"/>
          <w:sz w:val="20"/>
          <w:szCs w:val="20"/>
          <w:lang w:val="en-US"/>
        </w:rPr>
        <w:t xml:space="preserve"> </w:t>
      </w:r>
      <w:r w:rsidR="00982A28">
        <w:rPr>
          <w:rFonts w:ascii="Arial" w:hAnsi="Arial" w:cs="Arial"/>
          <w:color w:val="auto"/>
          <w:sz w:val="20"/>
          <w:szCs w:val="20"/>
          <w:lang w:val="en-US"/>
        </w:rPr>
        <w:t>t</w:t>
      </w:r>
      <w:r w:rsidR="00A3494D" w:rsidRPr="009020C7">
        <w:rPr>
          <w:rFonts w:ascii="Arial" w:hAnsi="Arial" w:cs="Arial"/>
          <w:color w:val="auto"/>
          <w:sz w:val="20"/>
          <w:szCs w:val="20"/>
          <w:lang w:val="en-US"/>
        </w:rPr>
        <w:t>otal adjustment relating to cost exempt from previous RPs.</w:t>
      </w:r>
    </w:p>
    <w:p w14:paraId="6B94CB64" w14:textId="77777777" w:rsidR="00544ABA" w:rsidRDefault="00544ABA" w:rsidP="00F12A75">
      <w:pPr>
        <w:pStyle w:val="Default"/>
        <w:jc w:val="both"/>
        <w:rPr>
          <w:rFonts w:ascii="Arial" w:hAnsi="Arial" w:cs="Arial"/>
          <w:color w:val="auto"/>
          <w:sz w:val="20"/>
          <w:szCs w:val="20"/>
          <w:lang w:val="en-US"/>
        </w:rPr>
      </w:pPr>
    </w:p>
    <w:p w14:paraId="4A76539B" w14:textId="13E190A0" w:rsidR="00544ABA" w:rsidRDefault="00544ABA" w:rsidP="00544ABA">
      <w:pPr>
        <w:pStyle w:val="Default"/>
        <w:jc w:val="both"/>
        <w:rPr>
          <w:rFonts w:ascii="Arial" w:hAnsi="Arial" w:cs="Arial"/>
          <w:color w:val="auto"/>
          <w:sz w:val="20"/>
          <w:szCs w:val="20"/>
          <w:lang w:val="en-US"/>
        </w:rPr>
      </w:pPr>
      <w:r w:rsidRPr="00F12A75">
        <w:rPr>
          <w:rFonts w:ascii="Arial" w:hAnsi="Arial" w:cs="Arial"/>
          <w:color w:val="auto"/>
          <w:sz w:val="20"/>
          <w:szCs w:val="20"/>
          <w:lang w:val="en-US"/>
        </w:rPr>
        <w:t xml:space="preserve">After a review of the </w:t>
      </w:r>
      <w:r>
        <w:rPr>
          <w:rFonts w:ascii="Arial" w:hAnsi="Arial" w:cs="Arial"/>
          <w:color w:val="auto"/>
          <w:sz w:val="20"/>
          <w:szCs w:val="20"/>
          <w:lang w:val="en-US"/>
        </w:rPr>
        <w:t xml:space="preserve">external </w:t>
      </w:r>
      <w:r w:rsidRPr="00F12A75">
        <w:rPr>
          <w:rFonts w:ascii="Arial" w:hAnsi="Arial" w:cs="Arial"/>
          <w:color w:val="auto"/>
          <w:sz w:val="20"/>
          <w:szCs w:val="20"/>
          <w:lang w:val="en-US"/>
        </w:rPr>
        <w:t>actuarial consultants AON</w:t>
      </w:r>
      <w:r>
        <w:rPr>
          <w:rFonts w:ascii="Arial" w:hAnsi="Arial" w:cs="Arial"/>
          <w:color w:val="auto"/>
          <w:sz w:val="20"/>
          <w:szCs w:val="20"/>
          <w:lang w:val="en-US"/>
        </w:rPr>
        <w:t xml:space="preserve"> Norway</w:t>
      </w:r>
      <w:r w:rsidRPr="00F12A75">
        <w:rPr>
          <w:rFonts w:ascii="Arial" w:hAnsi="Arial" w:cs="Arial"/>
          <w:color w:val="auto"/>
          <w:sz w:val="20"/>
          <w:szCs w:val="20"/>
          <w:lang w:val="en-US"/>
        </w:rPr>
        <w:t xml:space="preserve"> primo </w:t>
      </w:r>
      <w:r>
        <w:rPr>
          <w:rFonts w:ascii="Arial" w:hAnsi="Arial" w:cs="Arial"/>
          <w:color w:val="auto"/>
          <w:sz w:val="20"/>
          <w:szCs w:val="20"/>
          <w:lang w:val="en-US"/>
        </w:rPr>
        <w:t xml:space="preserve">year </w:t>
      </w:r>
      <w:r w:rsidRPr="00F12A75">
        <w:rPr>
          <w:rFonts w:ascii="Arial" w:hAnsi="Arial" w:cs="Arial"/>
          <w:color w:val="auto"/>
          <w:sz w:val="20"/>
          <w:szCs w:val="20"/>
          <w:lang w:val="en-US"/>
        </w:rPr>
        <w:t xml:space="preserve">2021, the CAA-N concludes that </w:t>
      </w:r>
      <w:r>
        <w:rPr>
          <w:rFonts w:ascii="Arial" w:hAnsi="Arial" w:cs="Arial"/>
          <w:color w:val="auto"/>
          <w:sz w:val="20"/>
          <w:szCs w:val="20"/>
          <w:lang w:val="en-US"/>
        </w:rPr>
        <w:t xml:space="preserve">in addition to </w:t>
      </w:r>
      <w:r w:rsidR="000A0802">
        <w:rPr>
          <w:rFonts w:ascii="Arial" w:hAnsi="Arial" w:cs="Arial"/>
          <w:color w:val="auto"/>
          <w:sz w:val="20"/>
          <w:szCs w:val="20"/>
          <w:lang w:val="en-US"/>
        </w:rPr>
        <w:t xml:space="preserve">the </w:t>
      </w:r>
      <w:r>
        <w:rPr>
          <w:rFonts w:ascii="Arial" w:hAnsi="Arial" w:cs="Arial"/>
          <w:color w:val="auto"/>
          <w:sz w:val="20"/>
          <w:szCs w:val="20"/>
          <w:lang w:val="en-US"/>
        </w:rPr>
        <w:t xml:space="preserve">above mentioned, </w:t>
      </w:r>
      <w:r w:rsidRPr="00F12A75">
        <w:rPr>
          <w:rFonts w:ascii="Arial" w:hAnsi="Arial" w:cs="Arial"/>
          <w:color w:val="auto"/>
          <w:sz w:val="20"/>
          <w:szCs w:val="20"/>
          <w:lang w:val="en-US"/>
        </w:rPr>
        <w:t xml:space="preserve">pension costs eligible as exempted </w:t>
      </w:r>
      <w:r>
        <w:rPr>
          <w:rFonts w:ascii="Arial" w:hAnsi="Arial" w:cs="Arial"/>
          <w:color w:val="auto"/>
          <w:sz w:val="20"/>
          <w:szCs w:val="20"/>
          <w:lang w:val="en-US"/>
        </w:rPr>
        <w:t xml:space="preserve">stemming from </w:t>
      </w:r>
      <w:r w:rsidRPr="00BF6D17">
        <w:rPr>
          <w:rFonts w:ascii="Arial" w:hAnsi="Arial" w:cs="Arial"/>
          <w:color w:val="auto"/>
          <w:sz w:val="20"/>
          <w:szCs w:val="20"/>
          <w:lang w:val="en-US"/>
        </w:rPr>
        <w:t xml:space="preserve">unforeseeable changes in financial market conditions </w:t>
      </w:r>
      <w:r>
        <w:rPr>
          <w:rFonts w:ascii="Arial" w:hAnsi="Arial" w:cs="Arial"/>
          <w:color w:val="auto"/>
          <w:sz w:val="20"/>
          <w:szCs w:val="20"/>
          <w:lang w:val="en-US"/>
        </w:rPr>
        <w:t>is calculated to -</w:t>
      </w:r>
      <w:r w:rsidRPr="00F12A75">
        <w:rPr>
          <w:rFonts w:ascii="Arial" w:hAnsi="Arial" w:cs="Arial"/>
          <w:color w:val="auto"/>
          <w:sz w:val="20"/>
          <w:szCs w:val="20"/>
          <w:lang w:val="en-US"/>
        </w:rPr>
        <w:t>17740 KNOK</w:t>
      </w:r>
      <w:r>
        <w:rPr>
          <w:rFonts w:ascii="Arial" w:hAnsi="Arial" w:cs="Arial"/>
          <w:color w:val="auto"/>
          <w:sz w:val="20"/>
          <w:szCs w:val="20"/>
          <w:lang w:val="en-US"/>
        </w:rPr>
        <w:t xml:space="preserve"> (6 690+2 880+7 050+1 120)</w:t>
      </w:r>
      <w:r w:rsidRPr="00F12A75">
        <w:rPr>
          <w:rFonts w:ascii="Arial" w:hAnsi="Arial" w:cs="Arial"/>
          <w:color w:val="auto"/>
          <w:sz w:val="20"/>
          <w:szCs w:val="20"/>
          <w:lang w:val="en-US"/>
        </w:rPr>
        <w:t xml:space="preserve"> in RP2, </w:t>
      </w:r>
      <w:proofErr w:type="gramStart"/>
      <w:r w:rsidRPr="00F12A75">
        <w:rPr>
          <w:rFonts w:ascii="Arial" w:hAnsi="Arial" w:cs="Arial"/>
          <w:color w:val="auto"/>
          <w:sz w:val="20"/>
          <w:szCs w:val="20"/>
          <w:lang w:val="en-US"/>
        </w:rPr>
        <w:t>i.e.</w:t>
      </w:r>
      <w:proofErr w:type="gramEnd"/>
      <w:r w:rsidRPr="00F12A75">
        <w:rPr>
          <w:rFonts w:ascii="Arial" w:hAnsi="Arial" w:cs="Arial"/>
          <w:color w:val="auto"/>
          <w:sz w:val="20"/>
          <w:szCs w:val="20"/>
          <w:lang w:val="en-US"/>
        </w:rPr>
        <w:t xml:space="preserve"> to be carried over and reimbursed </w:t>
      </w:r>
      <w:r w:rsidRPr="00544ABA">
        <w:rPr>
          <w:rFonts w:ascii="Arial" w:hAnsi="Arial" w:cs="Arial"/>
          <w:color w:val="auto"/>
          <w:sz w:val="20"/>
          <w:szCs w:val="20"/>
          <w:u w:val="single"/>
          <w:lang w:val="en-US"/>
        </w:rPr>
        <w:t>to</w:t>
      </w:r>
      <w:r w:rsidRPr="00F12A75">
        <w:rPr>
          <w:rFonts w:ascii="Arial" w:hAnsi="Arial" w:cs="Arial"/>
          <w:color w:val="auto"/>
          <w:sz w:val="20"/>
          <w:szCs w:val="20"/>
          <w:lang w:val="en-US"/>
        </w:rPr>
        <w:t xml:space="preserve"> the airspace users in RP3.</w:t>
      </w:r>
    </w:p>
    <w:p w14:paraId="4F75F668" w14:textId="77777777" w:rsidR="000957A0" w:rsidRDefault="000957A0" w:rsidP="00544ABA">
      <w:pPr>
        <w:pStyle w:val="Default"/>
        <w:jc w:val="both"/>
        <w:rPr>
          <w:rFonts w:ascii="Arial" w:hAnsi="Arial" w:cs="Arial"/>
          <w:color w:val="auto"/>
          <w:sz w:val="20"/>
          <w:szCs w:val="20"/>
          <w:lang w:val="en-US"/>
        </w:rPr>
      </w:pPr>
    </w:p>
    <w:p w14:paraId="0F710835" w14:textId="77777777" w:rsidR="00544ABA" w:rsidRDefault="00544ABA" w:rsidP="00544ABA">
      <w:pPr>
        <w:pStyle w:val="Default"/>
        <w:jc w:val="both"/>
        <w:rPr>
          <w:rFonts w:ascii="Arial" w:hAnsi="Arial" w:cs="Arial"/>
          <w:color w:val="auto"/>
          <w:sz w:val="20"/>
          <w:szCs w:val="20"/>
          <w:lang w:val="en-US"/>
        </w:rPr>
      </w:pPr>
      <w:r>
        <w:rPr>
          <w:rFonts w:ascii="Arial" w:hAnsi="Arial" w:cs="Arial"/>
          <w:noProof/>
          <w:color w:val="auto"/>
          <w:sz w:val="20"/>
          <w:szCs w:val="20"/>
          <w:lang w:val="en-US"/>
        </w:rPr>
        <w:drawing>
          <wp:inline distT="0" distB="0" distL="0" distR="0" wp14:anchorId="65E7965C" wp14:editId="0080368B">
            <wp:extent cx="2447290" cy="1038007"/>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3182" cy="1057472"/>
                    </a:xfrm>
                    <a:prstGeom prst="rect">
                      <a:avLst/>
                    </a:prstGeom>
                    <a:noFill/>
                    <a:ln>
                      <a:noFill/>
                    </a:ln>
                  </pic:spPr>
                </pic:pic>
              </a:graphicData>
            </a:graphic>
          </wp:inline>
        </w:drawing>
      </w:r>
    </w:p>
    <w:p w14:paraId="59958CBB" w14:textId="0AA7AABD" w:rsidR="00544ABA" w:rsidRDefault="00544ABA" w:rsidP="00544ABA">
      <w:pPr>
        <w:pStyle w:val="Default"/>
        <w:jc w:val="both"/>
        <w:rPr>
          <w:rFonts w:ascii="Arial" w:hAnsi="Arial" w:cs="Arial"/>
          <w:color w:val="auto"/>
          <w:sz w:val="20"/>
          <w:szCs w:val="20"/>
          <w:lang w:val="en-US"/>
        </w:rPr>
      </w:pPr>
      <w:r>
        <w:rPr>
          <w:rFonts w:ascii="Arial" w:hAnsi="Arial" w:cs="Arial"/>
          <w:color w:val="auto"/>
          <w:sz w:val="20"/>
          <w:szCs w:val="20"/>
          <w:lang w:val="en-US"/>
        </w:rPr>
        <w:lastRenderedPageBreak/>
        <w:t xml:space="preserve">Ref. </w:t>
      </w:r>
      <w:proofErr w:type="spellStart"/>
      <w:r>
        <w:rPr>
          <w:rFonts w:ascii="Arial" w:hAnsi="Arial" w:cs="Arial"/>
          <w:color w:val="auto"/>
          <w:sz w:val="20"/>
          <w:szCs w:val="20"/>
          <w:lang w:val="en-US"/>
        </w:rPr>
        <w:t>en</w:t>
      </w:r>
      <w:proofErr w:type="spellEnd"/>
      <w:r>
        <w:rPr>
          <w:rFonts w:ascii="Arial" w:hAnsi="Arial" w:cs="Arial"/>
          <w:color w:val="auto"/>
          <w:sz w:val="20"/>
          <w:szCs w:val="20"/>
          <w:lang w:val="en-US"/>
        </w:rPr>
        <w:t xml:space="preserve"> route reporting tables sheet </w:t>
      </w:r>
      <w:r w:rsidRPr="00A3494D">
        <w:rPr>
          <w:rFonts w:ascii="Arial" w:hAnsi="Arial" w:cs="Arial"/>
          <w:color w:val="auto"/>
          <w:sz w:val="20"/>
          <w:szCs w:val="20"/>
          <w:lang w:val="en-US"/>
        </w:rPr>
        <w:t xml:space="preserve">T3 ANSP </w:t>
      </w:r>
      <w:proofErr w:type="spellStart"/>
      <w:r w:rsidRPr="00A3494D">
        <w:rPr>
          <w:rFonts w:ascii="Arial" w:hAnsi="Arial" w:cs="Arial"/>
          <w:color w:val="auto"/>
          <w:sz w:val="20"/>
          <w:szCs w:val="20"/>
          <w:lang w:val="en-US"/>
        </w:rPr>
        <w:t>Avinor</w:t>
      </w:r>
      <w:proofErr w:type="spellEnd"/>
      <w:r>
        <w:rPr>
          <w:rFonts w:ascii="Arial" w:hAnsi="Arial" w:cs="Arial"/>
          <w:color w:val="auto"/>
          <w:sz w:val="20"/>
          <w:szCs w:val="20"/>
          <w:lang w:val="en-US"/>
        </w:rPr>
        <w:t>, t</w:t>
      </w:r>
      <w:r w:rsidRPr="00A3494D">
        <w:rPr>
          <w:rFonts w:ascii="Arial" w:hAnsi="Arial" w:cs="Arial"/>
          <w:color w:val="auto"/>
          <w:sz w:val="20"/>
          <w:szCs w:val="20"/>
          <w:lang w:val="en-US"/>
        </w:rPr>
        <w:t xml:space="preserve">otal </w:t>
      </w:r>
      <w:r>
        <w:rPr>
          <w:rFonts w:ascii="Arial" w:hAnsi="Arial" w:cs="Arial"/>
          <w:color w:val="auto"/>
          <w:sz w:val="20"/>
          <w:szCs w:val="20"/>
          <w:lang w:val="en-US"/>
        </w:rPr>
        <w:t xml:space="preserve">cost </w:t>
      </w:r>
      <w:r w:rsidRPr="00A3494D">
        <w:rPr>
          <w:rFonts w:ascii="Arial" w:hAnsi="Arial" w:cs="Arial"/>
          <w:color w:val="auto"/>
          <w:sz w:val="20"/>
          <w:szCs w:val="20"/>
          <w:lang w:val="en-US"/>
        </w:rPr>
        <w:t>adjustment from previous RPs</w:t>
      </w:r>
      <w:r>
        <w:rPr>
          <w:rFonts w:ascii="Arial" w:hAnsi="Arial" w:cs="Arial"/>
          <w:color w:val="auto"/>
          <w:sz w:val="20"/>
          <w:szCs w:val="20"/>
          <w:lang w:val="en-US"/>
        </w:rPr>
        <w:t xml:space="preserve"> </w:t>
      </w:r>
      <w:r w:rsidRPr="00A3494D">
        <w:rPr>
          <w:rFonts w:ascii="Arial" w:hAnsi="Arial" w:cs="Arial"/>
          <w:color w:val="auto"/>
          <w:sz w:val="20"/>
          <w:szCs w:val="20"/>
          <w:lang w:val="en-US"/>
        </w:rPr>
        <w:t xml:space="preserve">relating to </w:t>
      </w:r>
      <w:r w:rsidRPr="009020C7">
        <w:rPr>
          <w:rFonts w:ascii="Arial" w:hAnsi="Arial" w:cs="Arial"/>
          <w:color w:val="auto"/>
          <w:sz w:val="20"/>
          <w:szCs w:val="20"/>
          <w:lang w:val="en-US"/>
        </w:rPr>
        <w:t>unforeseeable changes in national pensions law</w:t>
      </w:r>
      <w:r w:rsidRPr="00A3494D">
        <w:rPr>
          <w:rFonts w:ascii="Arial" w:hAnsi="Arial" w:cs="Arial"/>
          <w:color w:val="auto"/>
          <w:sz w:val="20"/>
          <w:szCs w:val="20"/>
          <w:lang w:val="en-US"/>
        </w:rPr>
        <w:t xml:space="preserve"> </w:t>
      </w:r>
      <w:r>
        <w:rPr>
          <w:rFonts w:ascii="Arial" w:hAnsi="Arial" w:cs="Arial"/>
          <w:color w:val="auto"/>
          <w:sz w:val="20"/>
          <w:szCs w:val="20"/>
          <w:lang w:val="en-US"/>
        </w:rPr>
        <w:t xml:space="preserve">and </w:t>
      </w:r>
      <w:r w:rsidRPr="00BF6D17">
        <w:rPr>
          <w:rFonts w:ascii="Arial" w:hAnsi="Arial" w:cs="Arial"/>
          <w:color w:val="auto"/>
          <w:sz w:val="20"/>
          <w:szCs w:val="20"/>
          <w:lang w:val="en-US"/>
        </w:rPr>
        <w:t xml:space="preserve">financial market conditions </w:t>
      </w:r>
      <w:r>
        <w:rPr>
          <w:rFonts w:ascii="Arial" w:hAnsi="Arial" w:cs="Arial"/>
          <w:color w:val="auto"/>
          <w:sz w:val="20"/>
          <w:szCs w:val="20"/>
          <w:lang w:val="en-US"/>
        </w:rPr>
        <w:t>is +108 967 MNOK – 17 740 MNOK = 91 227 MNOK (please see table below).</w:t>
      </w:r>
    </w:p>
    <w:p w14:paraId="5944B6E7" w14:textId="77777777" w:rsidR="00544ABA" w:rsidRDefault="00544ABA" w:rsidP="00544ABA">
      <w:pPr>
        <w:pStyle w:val="Default"/>
        <w:jc w:val="both"/>
        <w:rPr>
          <w:rFonts w:ascii="Arial" w:hAnsi="Arial" w:cs="Arial"/>
          <w:color w:val="auto"/>
          <w:sz w:val="20"/>
          <w:szCs w:val="20"/>
          <w:lang w:val="en-US"/>
        </w:rPr>
      </w:pPr>
    </w:p>
    <w:p w14:paraId="3C299502" w14:textId="77777777" w:rsidR="00544ABA" w:rsidRDefault="00544ABA" w:rsidP="00544ABA">
      <w:pPr>
        <w:pStyle w:val="Default"/>
        <w:jc w:val="both"/>
        <w:rPr>
          <w:rFonts w:ascii="Arial" w:hAnsi="Arial" w:cs="Arial"/>
          <w:color w:val="auto"/>
          <w:sz w:val="20"/>
          <w:szCs w:val="20"/>
          <w:lang w:val="en-US"/>
        </w:rPr>
      </w:pPr>
      <w:r w:rsidRPr="00D83515">
        <w:rPr>
          <w:noProof/>
        </w:rPr>
        <w:drawing>
          <wp:inline distT="0" distB="0" distL="0" distR="0" wp14:anchorId="51B93448" wp14:editId="49179A6E">
            <wp:extent cx="5759450" cy="118173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181735"/>
                    </a:xfrm>
                    <a:prstGeom prst="rect">
                      <a:avLst/>
                    </a:prstGeom>
                    <a:noFill/>
                    <a:ln>
                      <a:noFill/>
                    </a:ln>
                  </pic:spPr>
                </pic:pic>
              </a:graphicData>
            </a:graphic>
          </wp:inline>
        </w:drawing>
      </w:r>
    </w:p>
    <w:p w14:paraId="22464672" w14:textId="77777777" w:rsidR="00544ABA" w:rsidRPr="000957A0" w:rsidRDefault="00544ABA" w:rsidP="00544ABA">
      <w:pPr>
        <w:pStyle w:val="Default"/>
        <w:jc w:val="both"/>
        <w:rPr>
          <w:rFonts w:ascii="Arial" w:hAnsi="Arial" w:cs="Arial"/>
          <w:b/>
          <w:bCs/>
          <w:color w:val="auto"/>
          <w:sz w:val="20"/>
          <w:szCs w:val="20"/>
          <w:lang w:val="en-US"/>
        </w:rPr>
      </w:pPr>
    </w:p>
    <w:p w14:paraId="22CD2009" w14:textId="09748B6C" w:rsidR="00544ABA" w:rsidRPr="000957A0" w:rsidRDefault="00544ABA" w:rsidP="00AA5DE2">
      <w:pPr>
        <w:pStyle w:val="Default"/>
        <w:jc w:val="both"/>
        <w:rPr>
          <w:rFonts w:ascii="Arial" w:hAnsi="Arial" w:cs="Arial"/>
          <w:b/>
          <w:bCs/>
          <w:color w:val="auto"/>
          <w:sz w:val="20"/>
          <w:szCs w:val="20"/>
          <w:lang w:val="en-US"/>
        </w:rPr>
      </w:pPr>
    </w:p>
    <w:p w14:paraId="03130C4E" w14:textId="77777777" w:rsidR="005E42D9" w:rsidRPr="000957A0" w:rsidRDefault="005E42D9" w:rsidP="000957A0">
      <w:pPr>
        <w:pStyle w:val="Default"/>
        <w:jc w:val="both"/>
        <w:rPr>
          <w:rFonts w:ascii="Arial" w:hAnsi="Arial" w:cs="Arial"/>
          <w:b/>
          <w:bCs/>
          <w:color w:val="auto"/>
          <w:sz w:val="20"/>
          <w:szCs w:val="20"/>
          <w:lang w:val="en-US"/>
        </w:rPr>
      </w:pPr>
      <w:r w:rsidRPr="000957A0">
        <w:rPr>
          <w:rFonts w:ascii="Arial" w:hAnsi="Arial" w:cs="Arial"/>
          <w:b/>
          <w:bCs/>
          <w:color w:val="auto"/>
          <w:sz w:val="20"/>
          <w:szCs w:val="20"/>
          <w:lang w:val="en-US"/>
        </w:rPr>
        <w:t>General information Covid-19 measures</w:t>
      </w:r>
    </w:p>
    <w:p w14:paraId="2366378B" w14:textId="77777777" w:rsidR="00483CE8" w:rsidRPr="000957A0" w:rsidRDefault="00483CE8" w:rsidP="000957A0">
      <w:pPr>
        <w:pStyle w:val="Default"/>
        <w:jc w:val="both"/>
        <w:rPr>
          <w:rFonts w:ascii="Arial" w:eastAsiaTheme="minorHAnsi" w:hAnsi="Arial" w:cs="Arial"/>
          <w:sz w:val="20"/>
          <w:szCs w:val="20"/>
          <w:lang w:val="en-US" w:eastAsia="nb-NO"/>
        </w:rPr>
      </w:pPr>
      <w:bookmarkStart w:id="4" w:name="_Hlk83730623"/>
      <w:bookmarkStart w:id="5" w:name="_Hlk83730468"/>
      <w:r w:rsidRPr="000957A0">
        <w:rPr>
          <w:rFonts w:ascii="Arial" w:hAnsi="Arial" w:cs="Arial"/>
          <w:color w:val="auto"/>
          <w:sz w:val="20"/>
          <w:szCs w:val="20"/>
          <w:lang w:val="en-US"/>
        </w:rPr>
        <w:t xml:space="preserve">The </w:t>
      </w:r>
      <w:proofErr w:type="spellStart"/>
      <w:r w:rsidRPr="000957A0">
        <w:rPr>
          <w:rFonts w:ascii="Arial" w:hAnsi="Arial" w:cs="Arial"/>
          <w:color w:val="auto"/>
          <w:sz w:val="20"/>
          <w:szCs w:val="20"/>
          <w:lang w:val="en-US"/>
        </w:rPr>
        <w:t>Avinor</w:t>
      </w:r>
      <w:proofErr w:type="spellEnd"/>
      <w:r w:rsidRPr="000957A0">
        <w:rPr>
          <w:rFonts w:ascii="Arial" w:hAnsi="Arial" w:cs="Arial"/>
          <w:color w:val="auto"/>
          <w:sz w:val="20"/>
          <w:szCs w:val="20"/>
          <w:lang w:val="en-US"/>
        </w:rPr>
        <w:t xml:space="preserve"> Group comprises </w:t>
      </w:r>
      <w:proofErr w:type="spellStart"/>
      <w:r w:rsidRPr="000957A0">
        <w:rPr>
          <w:rFonts w:ascii="Arial" w:hAnsi="Arial" w:cs="Arial"/>
          <w:color w:val="auto"/>
          <w:sz w:val="20"/>
          <w:szCs w:val="20"/>
          <w:lang w:val="en-US"/>
        </w:rPr>
        <w:t>Avinor</w:t>
      </w:r>
      <w:proofErr w:type="spellEnd"/>
      <w:r w:rsidRPr="000957A0">
        <w:rPr>
          <w:rFonts w:ascii="Arial" w:hAnsi="Arial" w:cs="Arial"/>
          <w:color w:val="auto"/>
          <w:sz w:val="20"/>
          <w:szCs w:val="20"/>
          <w:lang w:val="en-US"/>
        </w:rPr>
        <w:t xml:space="preserve"> AS, that operates </w:t>
      </w:r>
      <w:proofErr w:type="gramStart"/>
      <w:r w:rsidRPr="000957A0">
        <w:rPr>
          <w:rFonts w:ascii="Arial" w:hAnsi="Arial" w:cs="Arial"/>
          <w:color w:val="auto"/>
          <w:sz w:val="20"/>
          <w:szCs w:val="20"/>
          <w:lang w:val="en-US"/>
        </w:rPr>
        <w:t>the majority of</w:t>
      </w:r>
      <w:proofErr w:type="gramEnd"/>
      <w:r w:rsidRPr="000957A0">
        <w:rPr>
          <w:rFonts w:ascii="Arial" w:hAnsi="Arial" w:cs="Arial"/>
          <w:color w:val="auto"/>
          <w:sz w:val="20"/>
          <w:szCs w:val="20"/>
          <w:lang w:val="en-US"/>
        </w:rPr>
        <w:t xml:space="preserve"> the Norwegian airports, and </w:t>
      </w:r>
      <w:proofErr w:type="spellStart"/>
      <w:r w:rsidRPr="000957A0">
        <w:rPr>
          <w:rFonts w:ascii="Arial" w:hAnsi="Arial" w:cs="Arial"/>
          <w:color w:val="auto"/>
          <w:sz w:val="20"/>
          <w:szCs w:val="20"/>
          <w:lang w:val="en-US"/>
        </w:rPr>
        <w:t>Avinor</w:t>
      </w:r>
      <w:proofErr w:type="spellEnd"/>
      <w:r w:rsidRPr="000957A0">
        <w:rPr>
          <w:rFonts w:ascii="Arial" w:eastAsiaTheme="minorHAnsi" w:hAnsi="Arial" w:cs="Arial"/>
          <w:sz w:val="20"/>
          <w:szCs w:val="20"/>
          <w:lang w:val="en-US" w:eastAsia="nb-NO"/>
        </w:rPr>
        <w:t xml:space="preserve"> </w:t>
      </w:r>
      <w:proofErr w:type="spellStart"/>
      <w:r w:rsidRPr="000957A0">
        <w:rPr>
          <w:rFonts w:ascii="Arial" w:eastAsiaTheme="minorHAnsi" w:hAnsi="Arial" w:cs="Arial"/>
          <w:sz w:val="20"/>
          <w:szCs w:val="20"/>
          <w:lang w:val="en-US" w:eastAsia="nb-NO"/>
        </w:rPr>
        <w:t>Flysikring</w:t>
      </w:r>
      <w:proofErr w:type="spellEnd"/>
      <w:r w:rsidRPr="000957A0">
        <w:rPr>
          <w:rFonts w:ascii="Arial" w:eastAsiaTheme="minorHAnsi" w:hAnsi="Arial" w:cs="Arial"/>
          <w:sz w:val="20"/>
          <w:szCs w:val="20"/>
          <w:lang w:val="en-US" w:eastAsia="nb-NO"/>
        </w:rPr>
        <w:t xml:space="preserve"> AS, the ANS provider. </w:t>
      </w:r>
      <w:proofErr w:type="spellStart"/>
      <w:r w:rsidRPr="000957A0">
        <w:rPr>
          <w:rFonts w:ascii="Arial" w:eastAsiaTheme="minorHAnsi" w:hAnsi="Arial" w:cs="Arial"/>
          <w:sz w:val="20"/>
          <w:szCs w:val="20"/>
          <w:lang w:val="en-US" w:eastAsia="nb-NO"/>
        </w:rPr>
        <w:t>Avinor</w:t>
      </w:r>
      <w:proofErr w:type="spellEnd"/>
      <w:r w:rsidRPr="000957A0">
        <w:rPr>
          <w:rFonts w:ascii="Arial" w:eastAsiaTheme="minorHAnsi" w:hAnsi="Arial" w:cs="Arial"/>
          <w:sz w:val="20"/>
          <w:szCs w:val="20"/>
          <w:lang w:val="en-US" w:eastAsia="nb-NO"/>
        </w:rPr>
        <w:t xml:space="preserve"> </w:t>
      </w:r>
      <w:proofErr w:type="spellStart"/>
      <w:r w:rsidRPr="000957A0">
        <w:rPr>
          <w:rFonts w:ascii="Arial" w:eastAsiaTheme="minorHAnsi" w:hAnsi="Arial" w:cs="Arial"/>
          <w:sz w:val="20"/>
          <w:szCs w:val="20"/>
          <w:lang w:val="en-US" w:eastAsia="nb-NO"/>
        </w:rPr>
        <w:t>Flysikring</w:t>
      </w:r>
      <w:proofErr w:type="spellEnd"/>
      <w:r w:rsidRPr="000957A0">
        <w:rPr>
          <w:rFonts w:ascii="Arial" w:eastAsiaTheme="minorHAnsi" w:hAnsi="Arial" w:cs="Arial"/>
          <w:sz w:val="20"/>
          <w:szCs w:val="20"/>
          <w:lang w:val="en-US" w:eastAsia="nb-NO"/>
        </w:rPr>
        <w:t xml:space="preserve"> AS is a subsidiary of </w:t>
      </w:r>
      <w:proofErr w:type="spellStart"/>
      <w:r w:rsidRPr="000957A0">
        <w:rPr>
          <w:rFonts w:ascii="Arial" w:eastAsiaTheme="minorHAnsi" w:hAnsi="Arial" w:cs="Arial"/>
          <w:sz w:val="20"/>
          <w:szCs w:val="20"/>
          <w:lang w:val="en-US" w:eastAsia="nb-NO"/>
        </w:rPr>
        <w:t>Avinor</w:t>
      </w:r>
      <w:proofErr w:type="spellEnd"/>
      <w:r w:rsidRPr="000957A0">
        <w:rPr>
          <w:rFonts w:ascii="Arial" w:eastAsiaTheme="minorHAnsi" w:hAnsi="Arial" w:cs="Arial"/>
          <w:sz w:val="20"/>
          <w:szCs w:val="20"/>
          <w:lang w:val="en-US" w:eastAsia="nb-NO"/>
        </w:rPr>
        <w:t xml:space="preserve"> AS. </w:t>
      </w:r>
    </w:p>
    <w:p w14:paraId="236D951B" w14:textId="7546106F" w:rsidR="00483CE8" w:rsidRPr="00483CE8" w:rsidRDefault="00483CE8" w:rsidP="00483CE8">
      <w:pPr>
        <w:rPr>
          <w:rFonts w:ascii="Arial" w:eastAsiaTheme="minorHAnsi" w:hAnsi="Arial" w:cs="Arial"/>
          <w:color w:val="000000"/>
          <w:sz w:val="20"/>
          <w:szCs w:val="20"/>
          <w:lang w:val="en-US" w:eastAsia="nb-NO"/>
        </w:rPr>
      </w:pPr>
      <w:r w:rsidRPr="00483CE8">
        <w:rPr>
          <w:rFonts w:ascii="Arial" w:eastAsiaTheme="minorHAnsi" w:hAnsi="Arial" w:cs="Arial"/>
          <w:color w:val="000000"/>
          <w:sz w:val="20"/>
          <w:szCs w:val="20"/>
          <w:lang w:val="en-US" w:eastAsia="nb-NO"/>
        </w:rPr>
        <w:t xml:space="preserve">Financial support has been provided to the </w:t>
      </w:r>
      <w:proofErr w:type="spellStart"/>
      <w:r w:rsidRPr="00483CE8">
        <w:rPr>
          <w:rFonts w:ascii="Arial" w:eastAsiaTheme="minorHAnsi" w:hAnsi="Arial" w:cs="Arial"/>
          <w:color w:val="000000"/>
          <w:sz w:val="20"/>
          <w:szCs w:val="20"/>
          <w:lang w:val="en-US" w:eastAsia="nb-NO"/>
        </w:rPr>
        <w:t>Avinor</w:t>
      </w:r>
      <w:proofErr w:type="spellEnd"/>
      <w:r w:rsidRPr="00483CE8">
        <w:rPr>
          <w:rFonts w:ascii="Arial" w:eastAsiaTheme="minorHAnsi" w:hAnsi="Arial" w:cs="Arial"/>
          <w:color w:val="000000"/>
          <w:sz w:val="20"/>
          <w:szCs w:val="20"/>
          <w:lang w:val="en-US" w:eastAsia="nb-NO"/>
        </w:rPr>
        <w:t xml:space="preserve"> group by its owner in 2020 and 2021</w:t>
      </w:r>
      <w:r w:rsidR="00017D37">
        <w:rPr>
          <w:rFonts w:ascii="Arial" w:eastAsiaTheme="minorHAnsi" w:hAnsi="Arial" w:cs="Arial"/>
          <w:color w:val="000000"/>
          <w:sz w:val="20"/>
          <w:szCs w:val="20"/>
          <w:lang w:val="en-US" w:eastAsia="nb-NO"/>
        </w:rPr>
        <w:t xml:space="preserve"> </w:t>
      </w:r>
      <w:r w:rsidRPr="00483CE8">
        <w:rPr>
          <w:rFonts w:ascii="Arial" w:eastAsiaTheme="minorHAnsi" w:hAnsi="Arial" w:cs="Arial"/>
          <w:color w:val="000000"/>
          <w:sz w:val="20"/>
          <w:szCs w:val="20"/>
          <w:lang w:val="en-US" w:eastAsia="nb-NO"/>
        </w:rPr>
        <w:t>to strengthen the group’s solidity to mitigate weakened credit metrics due to Covid-19.</w:t>
      </w:r>
    </w:p>
    <w:bookmarkEnd w:id="4"/>
    <w:p w14:paraId="253DFF05" w14:textId="77777777" w:rsidR="000E6EC3" w:rsidRPr="00982A28" w:rsidRDefault="000E6EC3" w:rsidP="000E6EC3">
      <w:pPr>
        <w:pStyle w:val="xdefault"/>
        <w:rPr>
          <w:u w:val="single"/>
          <w:lang w:val="en-US"/>
        </w:rPr>
      </w:pPr>
      <w:r w:rsidRPr="00982A28">
        <w:rPr>
          <w:rFonts w:ascii="Arial" w:hAnsi="Arial" w:cs="Arial"/>
          <w:sz w:val="20"/>
          <w:szCs w:val="20"/>
          <w:u w:val="single"/>
          <w:lang w:val="en-US"/>
        </w:rPr>
        <w:t xml:space="preserve">From </w:t>
      </w:r>
      <w:proofErr w:type="spellStart"/>
      <w:r w:rsidRPr="00982A28">
        <w:rPr>
          <w:rFonts w:ascii="Arial" w:hAnsi="Arial" w:cs="Arial"/>
          <w:sz w:val="20"/>
          <w:szCs w:val="20"/>
          <w:u w:val="single"/>
          <w:lang w:val="en-US"/>
        </w:rPr>
        <w:t>Avinor’s</w:t>
      </w:r>
      <w:proofErr w:type="spellEnd"/>
      <w:r w:rsidRPr="00982A28">
        <w:rPr>
          <w:rFonts w:ascii="Arial" w:hAnsi="Arial" w:cs="Arial"/>
          <w:sz w:val="20"/>
          <w:szCs w:val="20"/>
          <w:u w:val="single"/>
          <w:lang w:val="en-US"/>
        </w:rPr>
        <w:t xml:space="preserve"> annual and sustainability report 2020:</w:t>
      </w:r>
    </w:p>
    <w:p w14:paraId="566D2BA5" w14:textId="7E07C5B3" w:rsidR="000E6EC3" w:rsidRPr="00D57044" w:rsidRDefault="000E6EC3" w:rsidP="000E6EC3">
      <w:pPr>
        <w:pStyle w:val="xdefault"/>
        <w:rPr>
          <w:lang w:val="en-US"/>
        </w:rPr>
      </w:pPr>
      <w:r w:rsidRPr="00D57044">
        <w:rPr>
          <w:rFonts w:ascii="Arial" w:hAnsi="Arial" w:cs="Arial"/>
          <w:sz w:val="20"/>
          <w:szCs w:val="20"/>
          <w:lang w:val="en-US"/>
        </w:rPr>
        <w:t xml:space="preserve">“The loss of traffic caused a significant drop in revenues due to heavy falls in passenger numbers, as well as the Norwegian authorities largely opting to suspend fees due to </w:t>
      </w:r>
      <w:proofErr w:type="spellStart"/>
      <w:r w:rsidRPr="00D57044">
        <w:rPr>
          <w:rFonts w:ascii="Arial" w:hAnsi="Arial" w:cs="Arial"/>
          <w:sz w:val="20"/>
          <w:szCs w:val="20"/>
          <w:lang w:val="en-US"/>
        </w:rPr>
        <w:t>Avinor</w:t>
      </w:r>
      <w:proofErr w:type="spellEnd"/>
      <w:r w:rsidRPr="00D57044">
        <w:rPr>
          <w:rFonts w:ascii="Arial" w:hAnsi="Arial" w:cs="Arial"/>
          <w:sz w:val="20"/>
          <w:szCs w:val="20"/>
          <w:lang w:val="en-US"/>
        </w:rPr>
        <w:t xml:space="preserve"> for services provided to airlines. </w:t>
      </w:r>
      <w:proofErr w:type="spellStart"/>
      <w:r w:rsidRPr="00D57044">
        <w:rPr>
          <w:rFonts w:ascii="Arial" w:hAnsi="Arial" w:cs="Arial"/>
          <w:sz w:val="20"/>
          <w:szCs w:val="20"/>
          <w:lang w:val="en-US"/>
        </w:rPr>
        <w:t>Avinor</w:t>
      </w:r>
      <w:proofErr w:type="spellEnd"/>
      <w:r w:rsidRPr="00D57044">
        <w:rPr>
          <w:rFonts w:ascii="Arial" w:hAnsi="Arial" w:cs="Arial"/>
          <w:sz w:val="20"/>
          <w:szCs w:val="20"/>
          <w:lang w:val="en-US"/>
        </w:rPr>
        <w:t xml:space="preserve"> is usually self-financed based on commercial revenues and fees, but in this situation financial support in the form of an injection of capital was required in order to maintain the Group’s liquidity and equity. The Group’s owner, the Norwegian Ministry of Transport, provided support in 2020 amounting to approximately NOK 3.6 billion, and </w:t>
      </w:r>
      <w:proofErr w:type="spellStart"/>
      <w:r w:rsidRPr="00D57044">
        <w:rPr>
          <w:rFonts w:ascii="Arial" w:hAnsi="Arial" w:cs="Arial"/>
          <w:sz w:val="20"/>
          <w:szCs w:val="20"/>
          <w:lang w:val="en-US"/>
        </w:rPr>
        <w:t>Avinor</w:t>
      </w:r>
      <w:proofErr w:type="spellEnd"/>
      <w:r w:rsidRPr="00D57044">
        <w:rPr>
          <w:rFonts w:ascii="Arial" w:hAnsi="Arial" w:cs="Arial"/>
          <w:sz w:val="20"/>
          <w:szCs w:val="20"/>
          <w:lang w:val="en-US"/>
        </w:rPr>
        <w:t xml:space="preserve"> anticipates that it will remain dependent on support to a similar level throughout 2021. The precise amount will be determined by how quickly the pandemic improves and how quickly passengers resume travel.”</w:t>
      </w:r>
    </w:p>
    <w:p w14:paraId="35304810" w14:textId="6A115457" w:rsidR="000E6EC3" w:rsidRPr="00476671" w:rsidRDefault="000E6EC3" w:rsidP="000E6EC3">
      <w:pPr>
        <w:pStyle w:val="xdefault"/>
        <w:rPr>
          <w:rFonts w:ascii="Arial" w:hAnsi="Arial" w:cs="Arial"/>
          <w:sz w:val="20"/>
          <w:szCs w:val="20"/>
          <w:lang w:val="en-US"/>
        </w:rPr>
      </w:pPr>
    </w:p>
    <w:p w14:paraId="4437BCA5" w14:textId="23B7C463" w:rsidR="00476671" w:rsidRDefault="00476671" w:rsidP="00446E7B">
      <w:pPr>
        <w:spacing w:after="0"/>
        <w:rPr>
          <w:rFonts w:ascii="Arial" w:eastAsiaTheme="minorHAnsi" w:hAnsi="Arial" w:cs="Arial"/>
          <w:color w:val="000000"/>
          <w:sz w:val="20"/>
          <w:szCs w:val="20"/>
          <w:lang w:val="en-US" w:eastAsia="nb-NO"/>
        </w:rPr>
      </w:pPr>
      <w:bookmarkStart w:id="6" w:name="_Hlk83730727"/>
      <w:r w:rsidRPr="00476671">
        <w:rPr>
          <w:rFonts w:ascii="Arial" w:eastAsiaTheme="minorHAnsi" w:hAnsi="Arial" w:cs="Arial"/>
          <w:color w:val="000000"/>
          <w:sz w:val="20"/>
          <w:szCs w:val="20"/>
          <w:lang w:val="en-US" w:eastAsia="nb-NO"/>
        </w:rPr>
        <w:t>To mitigate the consequences of the pandemic on the aviation industry the Norwegian Ministry of Transport has made the following decision:</w:t>
      </w:r>
    </w:p>
    <w:p w14:paraId="1B712D63" w14:textId="77777777" w:rsidR="00427C81" w:rsidRDefault="00427C81" w:rsidP="00427C81">
      <w:pPr>
        <w:pStyle w:val="Default"/>
        <w:jc w:val="both"/>
        <w:rPr>
          <w:rFonts w:ascii="Arial" w:eastAsiaTheme="minorHAnsi" w:hAnsi="Arial" w:cs="Arial"/>
          <w:sz w:val="20"/>
          <w:szCs w:val="20"/>
          <w:lang w:val="en-US" w:eastAsia="nb-NO"/>
        </w:rPr>
      </w:pPr>
    </w:p>
    <w:p w14:paraId="233F33C1" w14:textId="374F024C" w:rsidR="00476671" w:rsidRPr="004F4C12" w:rsidRDefault="00AA28B4" w:rsidP="00427C81">
      <w:pPr>
        <w:pStyle w:val="Default"/>
        <w:jc w:val="both"/>
        <w:rPr>
          <w:rFonts w:ascii="Arial" w:eastAsiaTheme="minorHAnsi" w:hAnsi="Arial" w:cs="Arial"/>
          <w:bCs/>
          <w:sz w:val="20"/>
          <w:szCs w:val="20"/>
          <w:lang w:val="en-US" w:eastAsia="nb-NO"/>
        </w:rPr>
      </w:pPr>
      <w:r w:rsidRPr="00427C81">
        <w:rPr>
          <w:rFonts w:ascii="Arial" w:eastAsiaTheme="minorHAnsi" w:hAnsi="Arial" w:cs="Arial"/>
          <w:sz w:val="20"/>
          <w:szCs w:val="20"/>
          <w:lang w:val="en-US" w:eastAsia="nb-NO"/>
        </w:rPr>
        <w:t>In</w:t>
      </w:r>
      <w:r w:rsidR="00476671" w:rsidRPr="00427C81">
        <w:rPr>
          <w:rFonts w:ascii="Arial" w:eastAsiaTheme="minorHAnsi" w:hAnsi="Arial" w:cs="Arial"/>
          <w:sz w:val="20"/>
          <w:szCs w:val="20"/>
          <w:lang w:val="en-US" w:eastAsia="nb-NO"/>
        </w:rPr>
        <w:t xml:space="preserve"> 2020-2021</w:t>
      </w:r>
      <w:r w:rsidR="00713233" w:rsidRPr="00427C81">
        <w:rPr>
          <w:rFonts w:ascii="Arial" w:eastAsiaTheme="minorHAnsi" w:hAnsi="Arial" w:cs="Arial"/>
          <w:sz w:val="20"/>
          <w:szCs w:val="20"/>
          <w:lang w:val="en-US" w:eastAsia="nb-NO"/>
        </w:rPr>
        <w:t xml:space="preserve"> </w:t>
      </w:r>
      <w:r w:rsidRPr="00427C81">
        <w:rPr>
          <w:rFonts w:ascii="Arial" w:eastAsiaTheme="minorHAnsi" w:hAnsi="Arial" w:cs="Arial"/>
          <w:sz w:val="20"/>
          <w:szCs w:val="20"/>
          <w:lang w:val="en-US" w:eastAsia="nb-NO"/>
        </w:rPr>
        <w:t>the total</w:t>
      </w:r>
      <w:r w:rsidR="00B53AA7" w:rsidRPr="00427C81">
        <w:rPr>
          <w:rFonts w:ascii="Arial" w:eastAsiaTheme="minorHAnsi" w:hAnsi="Arial" w:cs="Arial"/>
          <w:sz w:val="20"/>
          <w:szCs w:val="20"/>
          <w:lang w:val="en-US" w:eastAsia="nb-NO"/>
        </w:rPr>
        <w:t xml:space="preserve"> </w:t>
      </w:r>
      <w:proofErr w:type="spellStart"/>
      <w:r w:rsidR="00A26881" w:rsidRPr="00427C81">
        <w:rPr>
          <w:rFonts w:ascii="Arial" w:eastAsiaTheme="minorHAnsi" w:hAnsi="Arial" w:cs="Arial"/>
          <w:sz w:val="20"/>
          <w:szCs w:val="20"/>
          <w:lang w:val="en-US" w:eastAsia="nb-NO"/>
        </w:rPr>
        <w:t>en</w:t>
      </w:r>
      <w:proofErr w:type="spellEnd"/>
      <w:r w:rsidR="00A26881" w:rsidRPr="00427C81">
        <w:rPr>
          <w:rFonts w:ascii="Arial" w:eastAsiaTheme="minorHAnsi" w:hAnsi="Arial" w:cs="Arial"/>
          <w:sz w:val="20"/>
          <w:szCs w:val="20"/>
          <w:lang w:val="en-US" w:eastAsia="nb-NO"/>
        </w:rPr>
        <w:t xml:space="preserve"> route </w:t>
      </w:r>
      <w:r w:rsidR="00713233" w:rsidRPr="00427C81">
        <w:rPr>
          <w:rFonts w:ascii="Arial" w:eastAsiaTheme="minorHAnsi" w:hAnsi="Arial" w:cs="Arial"/>
          <w:sz w:val="20"/>
          <w:szCs w:val="20"/>
          <w:lang w:val="en-US" w:eastAsia="nb-NO"/>
        </w:rPr>
        <w:t>revenue loss (</w:t>
      </w:r>
      <w:r w:rsidR="00476671" w:rsidRPr="00427C81">
        <w:rPr>
          <w:rFonts w:ascii="Arial" w:eastAsiaTheme="minorHAnsi" w:hAnsi="Arial" w:cs="Arial"/>
          <w:sz w:val="20"/>
          <w:szCs w:val="20"/>
          <w:lang w:val="en-US" w:eastAsia="nb-NO"/>
        </w:rPr>
        <w:t>deficit</w:t>
      </w:r>
      <w:r w:rsidR="00713233" w:rsidRPr="00427C81">
        <w:rPr>
          <w:rFonts w:ascii="Arial" w:eastAsiaTheme="minorHAnsi" w:hAnsi="Arial" w:cs="Arial"/>
          <w:sz w:val="20"/>
          <w:szCs w:val="20"/>
          <w:lang w:val="en-US" w:eastAsia="nb-NO"/>
        </w:rPr>
        <w:t>)</w:t>
      </w:r>
      <w:r w:rsidR="00476671" w:rsidRPr="00427C81">
        <w:rPr>
          <w:rFonts w:ascii="Arial" w:eastAsiaTheme="minorHAnsi" w:hAnsi="Arial" w:cs="Arial"/>
          <w:sz w:val="20"/>
          <w:szCs w:val="20"/>
          <w:lang w:val="en-US" w:eastAsia="nb-NO"/>
        </w:rPr>
        <w:t xml:space="preserve"> </w:t>
      </w:r>
      <w:r w:rsidRPr="00427C81">
        <w:rPr>
          <w:rFonts w:ascii="Arial" w:eastAsiaTheme="minorHAnsi" w:hAnsi="Arial" w:cs="Arial"/>
          <w:sz w:val="20"/>
          <w:szCs w:val="20"/>
          <w:lang w:val="en-US" w:eastAsia="nb-NO"/>
        </w:rPr>
        <w:t>is 9</w:t>
      </w:r>
      <w:r w:rsidR="004F4C12">
        <w:rPr>
          <w:rFonts w:ascii="Arial" w:eastAsiaTheme="minorHAnsi" w:hAnsi="Arial" w:cs="Arial"/>
          <w:sz w:val="20"/>
          <w:szCs w:val="20"/>
          <w:lang w:val="en-US" w:eastAsia="nb-NO"/>
        </w:rPr>
        <w:t>30</w:t>
      </w:r>
      <w:r w:rsidRPr="00427C81">
        <w:rPr>
          <w:rFonts w:ascii="Arial" w:eastAsiaTheme="minorHAnsi" w:hAnsi="Arial" w:cs="Arial"/>
          <w:sz w:val="20"/>
          <w:szCs w:val="20"/>
          <w:lang w:val="en-US" w:eastAsia="nb-NO"/>
        </w:rPr>
        <w:t>,</w:t>
      </w:r>
      <w:r w:rsidR="004F4C12">
        <w:rPr>
          <w:rFonts w:ascii="Arial" w:eastAsiaTheme="minorHAnsi" w:hAnsi="Arial" w:cs="Arial"/>
          <w:sz w:val="20"/>
          <w:szCs w:val="20"/>
          <w:lang w:val="en-US" w:eastAsia="nb-NO"/>
        </w:rPr>
        <w:t>0</w:t>
      </w:r>
      <w:r w:rsidRPr="00427C81">
        <w:rPr>
          <w:rFonts w:ascii="Arial" w:eastAsiaTheme="minorHAnsi" w:hAnsi="Arial" w:cs="Arial"/>
          <w:sz w:val="20"/>
          <w:szCs w:val="20"/>
          <w:lang w:val="en-US" w:eastAsia="nb-NO"/>
        </w:rPr>
        <w:t xml:space="preserve"> MNOK, whereof </w:t>
      </w:r>
      <w:r w:rsidR="00625539" w:rsidRPr="00427C81">
        <w:rPr>
          <w:rFonts w:ascii="Arial" w:eastAsiaTheme="minorHAnsi" w:hAnsi="Arial" w:cs="Arial"/>
          <w:sz w:val="20"/>
          <w:szCs w:val="20"/>
          <w:lang w:val="en-US" w:eastAsia="nb-NO"/>
        </w:rPr>
        <w:t xml:space="preserve">an amount of </w:t>
      </w:r>
      <w:r w:rsidR="002D5CD2" w:rsidRPr="00427C81">
        <w:rPr>
          <w:rFonts w:ascii="Arial" w:eastAsiaTheme="minorHAnsi" w:hAnsi="Arial" w:cs="Arial"/>
          <w:sz w:val="20"/>
          <w:szCs w:val="20"/>
          <w:lang w:val="en-US" w:eastAsia="nb-NO"/>
        </w:rPr>
        <w:t>8</w:t>
      </w:r>
      <w:r w:rsidR="007A5EC2" w:rsidRPr="00427C81">
        <w:rPr>
          <w:rFonts w:ascii="Arial" w:eastAsiaTheme="minorHAnsi" w:hAnsi="Arial" w:cs="Arial"/>
          <w:sz w:val="20"/>
          <w:szCs w:val="20"/>
          <w:lang w:val="en-US" w:eastAsia="nb-NO"/>
        </w:rPr>
        <w:t>8</w:t>
      </w:r>
      <w:r w:rsidR="004F4C12">
        <w:rPr>
          <w:rFonts w:ascii="Arial" w:eastAsiaTheme="minorHAnsi" w:hAnsi="Arial" w:cs="Arial"/>
          <w:sz w:val="20"/>
          <w:szCs w:val="20"/>
          <w:lang w:val="en-US" w:eastAsia="nb-NO"/>
        </w:rPr>
        <w:t>4</w:t>
      </w:r>
      <w:r w:rsidR="002D5CD2" w:rsidRPr="00427C81">
        <w:rPr>
          <w:rFonts w:ascii="Arial" w:eastAsiaTheme="minorHAnsi" w:hAnsi="Arial" w:cs="Arial"/>
          <w:sz w:val="20"/>
          <w:szCs w:val="20"/>
          <w:lang w:val="en-US" w:eastAsia="nb-NO"/>
        </w:rPr>
        <w:t>,</w:t>
      </w:r>
      <w:r w:rsidR="007A5EC2" w:rsidRPr="00427C81">
        <w:rPr>
          <w:rFonts w:ascii="Arial" w:eastAsiaTheme="minorHAnsi" w:hAnsi="Arial" w:cs="Arial"/>
          <w:sz w:val="20"/>
          <w:szCs w:val="20"/>
          <w:lang w:val="en-US" w:eastAsia="nb-NO"/>
        </w:rPr>
        <w:t>8</w:t>
      </w:r>
      <w:r w:rsidR="002D5CD2" w:rsidRPr="00427C81">
        <w:rPr>
          <w:rFonts w:ascii="Arial" w:eastAsiaTheme="minorHAnsi" w:hAnsi="Arial" w:cs="Arial"/>
          <w:sz w:val="20"/>
          <w:szCs w:val="20"/>
          <w:lang w:val="en-US" w:eastAsia="nb-NO"/>
        </w:rPr>
        <w:t xml:space="preserve"> </w:t>
      </w:r>
      <w:r w:rsidR="00476671" w:rsidRPr="00427C81">
        <w:rPr>
          <w:rFonts w:ascii="Arial" w:eastAsiaTheme="minorHAnsi" w:hAnsi="Arial" w:cs="Arial"/>
          <w:sz w:val="20"/>
          <w:szCs w:val="20"/>
          <w:lang w:val="en-US" w:eastAsia="nb-NO"/>
        </w:rPr>
        <w:t xml:space="preserve">MNOK will not be recovered through </w:t>
      </w:r>
      <w:r w:rsidRPr="00427C81">
        <w:rPr>
          <w:rFonts w:ascii="Arial" w:eastAsiaTheme="minorHAnsi" w:hAnsi="Arial" w:cs="Arial"/>
          <w:sz w:val="20"/>
          <w:szCs w:val="20"/>
          <w:lang w:val="en-US" w:eastAsia="nb-NO"/>
        </w:rPr>
        <w:t xml:space="preserve">unit rate </w:t>
      </w:r>
      <w:r w:rsidR="00476671" w:rsidRPr="00427C81">
        <w:rPr>
          <w:rFonts w:ascii="Arial" w:eastAsiaTheme="minorHAnsi" w:hAnsi="Arial" w:cs="Arial"/>
          <w:sz w:val="20"/>
          <w:szCs w:val="20"/>
          <w:lang w:val="en-US" w:eastAsia="nb-NO"/>
        </w:rPr>
        <w:t xml:space="preserve">adjustments </w:t>
      </w:r>
      <w:r w:rsidR="002D5CD2" w:rsidRPr="00427C81">
        <w:rPr>
          <w:rFonts w:ascii="Arial" w:eastAsiaTheme="minorHAnsi" w:hAnsi="Arial" w:cs="Arial"/>
          <w:sz w:val="20"/>
          <w:szCs w:val="20"/>
          <w:lang w:val="en-US" w:eastAsia="nb-NO"/>
        </w:rPr>
        <w:t>in</w:t>
      </w:r>
      <w:r w:rsidR="00476671" w:rsidRPr="00427C81">
        <w:rPr>
          <w:rFonts w:ascii="Arial" w:eastAsiaTheme="minorHAnsi" w:hAnsi="Arial" w:cs="Arial"/>
          <w:sz w:val="20"/>
          <w:szCs w:val="20"/>
          <w:lang w:val="en-US" w:eastAsia="nb-NO"/>
        </w:rPr>
        <w:t xml:space="preserve"> 2023</w:t>
      </w:r>
      <w:r w:rsidR="00B53AA7" w:rsidRPr="00427C81">
        <w:rPr>
          <w:rFonts w:ascii="Arial" w:eastAsiaTheme="minorHAnsi" w:hAnsi="Arial" w:cs="Arial"/>
          <w:sz w:val="20"/>
          <w:szCs w:val="20"/>
          <w:lang w:val="en-US" w:eastAsia="nb-NO"/>
        </w:rPr>
        <w:t xml:space="preserve"> and </w:t>
      </w:r>
      <w:r w:rsidR="004350EA" w:rsidRPr="00427C81">
        <w:rPr>
          <w:rFonts w:ascii="Arial" w:eastAsiaTheme="minorHAnsi" w:hAnsi="Arial" w:cs="Arial"/>
          <w:sz w:val="20"/>
          <w:szCs w:val="20"/>
          <w:lang w:val="en-US" w:eastAsia="nb-NO"/>
        </w:rPr>
        <w:t xml:space="preserve">2024, </w:t>
      </w:r>
      <w:bookmarkStart w:id="7" w:name="_Hlk83916522"/>
      <w:r w:rsidR="004350EA" w:rsidRPr="00427C81">
        <w:rPr>
          <w:rFonts w:ascii="Arial" w:eastAsiaTheme="minorHAnsi" w:hAnsi="Arial" w:cs="Arial"/>
          <w:sz w:val="20"/>
          <w:szCs w:val="20"/>
          <w:lang w:val="en-US" w:eastAsia="nb-NO"/>
        </w:rPr>
        <w:t xml:space="preserve">nor carried over to </w:t>
      </w:r>
      <w:r w:rsidR="002D5CD2" w:rsidRPr="00427C81">
        <w:rPr>
          <w:rFonts w:ascii="Arial" w:eastAsiaTheme="minorHAnsi" w:hAnsi="Arial" w:cs="Arial"/>
          <w:sz w:val="20"/>
          <w:szCs w:val="20"/>
          <w:lang w:val="en-US" w:eastAsia="nb-NO"/>
        </w:rPr>
        <w:t xml:space="preserve">the airspace users </w:t>
      </w:r>
      <w:r w:rsidR="00625539" w:rsidRPr="00427C81">
        <w:rPr>
          <w:rFonts w:ascii="Arial" w:eastAsiaTheme="minorHAnsi" w:hAnsi="Arial" w:cs="Arial"/>
          <w:sz w:val="20"/>
          <w:szCs w:val="20"/>
          <w:lang w:val="en-US" w:eastAsia="nb-NO"/>
        </w:rPr>
        <w:t>to</w:t>
      </w:r>
      <w:r w:rsidR="002D5CD2" w:rsidRPr="00427C81">
        <w:rPr>
          <w:rFonts w:ascii="Arial" w:eastAsiaTheme="minorHAnsi" w:hAnsi="Arial" w:cs="Arial"/>
          <w:sz w:val="20"/>
          <w:szCs w:val="20"/>
          <w:lang w:val="en-US" w:eastAsia="nb-NO"/>
        </w:rPr>
        <w:t xml:space="preserve"> </w:t>
      </w:r>
      <w:r w:rsidR="004350EA" w:rsidRPr="00427C81">
        <w:rPr>
          <w:rFonts w:ascii="Arial" w:eastAsiaTheme="minorHAnsi" w:hAnsi="Arial" w:cs="Arial"/>
          <w:sz w:val="20"/>
          <w:szCs w:val="20"/>
          <w:lang w:val="en-US" w:eastAsia="nb-NO"/>
        </w:rPr>
        <w:t>the next RP</w:t>
      </w:r>
      <w:bookmarkEnd w:id="7"/>
      <w:r w:rsidR="00476671" w:rsidRPr="00427C81">
        <w:rPr>
          <w:rFonts w:ascii="Arial" w:eastAsiaTheme="minorHAnsi" w:hAnsi="Arial" w:cs="Arial"/>
          <w:sz w:val="20"/>
          <w:szCs w:val="20"/>
          <w:lang w:val="en-US" w:eastAsia="nb-NO"/>
        </w:rPr>
        <w:t xml:space="preserve">. </w:t>
      </w:r>
      <w:r w:rsidR="002D5CD2" w:rsidRPr="00427C81">
        <w:rPr>
          <w:rFonts w:ascii="Arial" w:eastAsiaTheme="minorHAnsi" w:hAnsi="Arial" w:cs="Arial"/>
          <w:sz w:val="20"/>
          <w:szCs w:val="20"/>
          <w:lang w:val="en-US" w:eastAsia="nb-NO"/>
        </w:rPr>
        <w:t>This</w:t>
      </w:r>
      <w:r w:rsidR="00476671" w:rsidRPr="00427C81">
        <w:rPr>
          <w:rFonts w:ascii="Arial" w:eastAsiaTheme="minorHAnsi" w:hAnsi="Arial" w:cs="Arial"/>
          <w:sz w:val="20"/>
          <w:szCs w:val="20"/>
          <w:lang w:val="en-US" w:eastAsia="nb-NO"/>
        </w:rPr>
        <w:t xml:space="preserve"> is shown in </w:t>
      </w:r>
      <w:r w:rsidR="002D5CD2" w:rsidRPr="00427C81">
        <w:rPr>
          <w:rFonts w:ascii="Arial" w:eastAsiaTheme="minorHAnsi" w:hAnsi="Arial" w:cs="Arial"/>
          <w:sz w:val="20"/>
          <w:szCs w:val="20"/>
          <w:lang w:val="en-US" w:eastAsia="nb-NO"/>
        </w:rPr>
        <w:t xml:space="preserve">table </w:t>
      </w:r>
      <w:r w:rsidR="00476671" w:rsidRPr="00427C81">
        <w:rPr>
          <w:rFonts w:ascii="Arial" w:eastAsiaTheme="minorHAnsi" w:hAnsi="Arial" w:cs="Arial"/>
          <w:sz w:val="20"/>
          <w:szCs w:val="20"/>
          <w:lang w:val="en-US" w:eastAsia="nb-NO"/>
        </w:rPr>
        <w:t>T3 Revenue difference - revision of UR 2020-2021, set to zero for the years from 2023</w:t>
      </w:r>
      <w:r w:rsidRPr="00427C81">
        <w:rPr>
          <w:rFonts w:ascii="Arial" w:eastAsiaTheme="minorHAnsi" w:hAnsi="Arial" w:cs="Arial"/>
          <w:sz w:val="20"/>
          <w:szCs w:val="20"/>
          <w:lang w:val="en-US" w:eastAsia="nb-NO"/>
        </w:rPr>
        <w:t>-</w:t>
      </w:r>
      <w:r w:rsidR="00A26881" w:rsidRPr="00427C81">
        <w:rPr>
          <w:rFonts w:ascii="Arial" w:eastAsiaTheme="minorHAnsi" w:hAnsi="Arial" w:cs="Arial"/>
          <w:sz w:val="20"/>
          <w:szCs w:val="20"/>
          <w:lang w:val="en-US" w:eastAsia="nb-NO"/>
        </w:rPr>
        <w:t>2024 (and in next RP), also shown</w:t>
      </w:r>
      <w:r w:rsidR="00476671" w:rsidRPr="00427C81">
        <w:rPr>
          <w:rFonts w:ascii="Arial" w:eastAsiaTheme="minorHAnsi" w:hAnsi="Arial" w:cs="Arial"/>
          <w:sz w:val="20"/>
          <w:szCs w:val="20"/>
          <w:lang w:val="en-US" w:eastAsia="nb-NO"/>
        </w:rPr>
        <w:t xml:space="preserve"> in </w:t>
      </w:r>
      <w:r w:rsidR="002D5CD2" w:rsidRPr="00427C81">
        <w:rPr>
          <w:rFonts w:ascii="Arial" w:eastAsiaTheme="minorHAnsi" w:hAnsi="Arial" w:cs="Arial"/>
          <w:sz w:val="20"/>
          <w:szCs w:val="20"/>
          <w:lang w:val="en-US" w:eastAsia="nb-NO"/>
        </w:rPr>
        <w:t xml:space="preserve">table </w:t>
      </w:r>
      <w:r w:rsidR="00476671" w:rsidRPr="00427C81">
        <w:rPr>
          <w:rFonts w:ascii="Arial" w:eastAsiaTheme="minorHAnsi" w:hAnsi="Arial" w:cs="Arial"/>
          <w:sz w:val="20"/>
          <w:szCs w:val="20"/>
          <w:lang w:val="en-US" w:eastAsia="nb-NO"/>
        </w:rPr>
        <w:t>T2 item 13.10</w:t>
      </w:r>
      <w:r w:rsidR="007E55A5" w:rsidRPr="00427C81">
        <w:rPr>
          <w:rFonts w:ascii="Arial" w:eastAsiaTheme="minorHAnsi" w:hAnsi="Arial" w:cs="Arial"/>
          <w:sz w:val="20"/>
          <w:szCs w:val="20"/>
          <w:lang w:val="en-US" w:eastAsia="nb-NO"/>
        </w:rPr>
        <w:t xml:space="preserve"> Difference in revenue from temporary application of unit rate</w:t>
      </w:r>
      <w:r w:rsidR="00A26881" w:rsidRPr="00427C81">
        <w:rPr>
          <w:rFonts w:ascii="Arial" w:eastAsiaTheme="minorHAnsi" w:hAnsi="Arial" w:cs="Arial"/>
          <w:sz w:val="20"/>
          <w:szCs w:val="20"/>
          <w:lang w:val="en-US" w:eastAsia="nb-NO"/>
        </w:rPr>
        <w:t xml:space="preserve"> (ref. please see table</w:t>
      </w:r>
      <w:r w:rsidR="004F4C12">
        <w:rPr>
          <w:rFonts w:ascii="Arial" w:eastAsiaTheme="minorHAnsi" w:hAnsi="Arial" w:cs="Arial"/>
          <w:sz w:val="20"/>
          <w:szCs w:val="20"/>
          <w:lang w:val="en-US" w:eastAsia="nb-NO"/>
        </w:rPr>
        <w:t>s</w:t>
      </w:r>
      <w:r w:rsidR="00A26881" w:rsidRPr="00427C81">
        <w:rPr>
          <w:rFonts w:ascii="Arial" w:eastAsiaTheme="minorHAnsi" w:hAnsi="Arial" w:cs="Arial"/>
          <w:sz w:val="20"/>
          <w:szCs w:val="20"/>
          <w:lang w:val="en-US" w:eastAsia="nb-NO"/>
        </w:rPr>
        <w:t xml:space="preserve"> </w:t>
      </w:r>
      <w:r w:rsidR="004F4C12">
        <w:rPr>
          <w:rFonts w:ascii="Arial" w:eastAsiaTheme="minorHAnsi" w:hAnsi="Arial" w:cs="Arial"/>
          <w:sz w:val="20"/>
          <w:szCs w:val="20"/>
          <w:lang w:val="en-US" w:eastAsia="nb-NO"/>
        </w:rPr>
        <w:t xml:space="preserve">above in </w:t>
      </w:r>
      <w:r w:rsidR="00A26881" w:rsidRPr="00427C81">
        <w:rPr>
          <w:rFonts w:ascii="Arial" w:eastAsiaTheme="minorHAnsi" w:hAnsi="Arial" w:cs="Arial"/>
          <w:sz w:val="20"/>
          <w:szCs w:val="20"/>
          <w:lang w:val="en-US" w:eastAsia="nb-NO"/>
        </w:rPr>
        <w:t>add.info.</w:t>
      </w:r>
      <w:r w:rsidR="000C39BF">
        <w:rPr>
          <w:rFonts w:ascii="Arial" w:eastAsiaTheme="minorHAnsi" w:hAnsi="Arial" w:cs="Arial"/>
          <w:sz w:val="20"/>
          <w:szCs w:val="20"/>
          <w:lang w:val="en-US" w:eastAsia="nb-NO"/>
        </w:rPr>
        <w:t xml:space="preserve"> </w:t>
      </w:r>
      <w:r w:rsidR="000C39BF" w:rsidRPr="000C39BF">
        <w:rPr>
          <w:rFonts w:ascii="Arial" w:eastAsiaTheme="minorHAnsi" w:hAnsi="Arial" w:cs="Arial"/>
          <w:sz w:val="20"/>
          <w:szCs w:val="20"/>
          <w:lang w:val="en-US" w:eastAsia="nb-NO"/>
        </w:rPr>
        <w:t>to reporting tables</w:t>
      </w:r>
      <w:r w:rsidR="000D6F98">
        <w:rPr>
          <w:rFonts w:ascii="Arial" w:eastAsiaTheme="minorHAnsi" w:hAnsi="Arial" w:cs="Arial"/>
          <w:sz w:val="20"/>
          <w:szCs w:val="20"/>
          <w:lang w:val="en-US" w:eastAsia="nb-NO"/>
        </w:rPr>
        <w:t xml:space="preserve"> 2, </w:t>
      </w:r>
      <w:r w:rsidR="00A26881" w:rsidRPr="00427C81">
        <w:rPr>
          <w:rFonts w:ascii="Arial" w:eastAsiaTheme="minorHAnsi" w:hAnsi="Arial" w:cs="Arial"/>
          <w:sz w:val="20"/>
          <w:szCs w:val="20"/>
          <w:lang w:val="en-US" w:eastAsia="nb-NO"/>
        </w:rPr>
        <w:t>2 j</w:t>
      </w:r>
      <w:r w:rsidR="004F4C12">
        <w:rPr>
          <w:rFonts w:ascii="Arial" w:eastAsiaTheme="minorHAnsi" w:hAnsi="Arial" w:cs="Arial"/>
          <w:sz w:val="20"/>
          <w:szCs w:val="20"/>
          <w:lang w:val="en-US" w:eastAsia="nb-NO"/>
        </w:rPr>
        <w:t xml:space="preserve">) and 2 </w:t>
      </w:r>
      <w:r w:rsidR="004F4C12" w:rsidRPr="000C39BF">
        <w:rPr>
          <w:rFonts w:ascii="Arial" w:eastAsiaTheme="minorHAnsi" w:hAnsi="Arial" w:cs="Arial"/>
          <w:sz w:val="20"/>
          <w:szCs w:val="20"/>
          <w:lang w:val="en-US" w:eastAsia="nb-NO"/>
        </w:rPr>
        <w:t>k)</w:t>
      </w:r>
      <w:r w:rsidR="00A26881" w:rsidRPr="000C39BF">
        <w:rPr>
          <w:rFonts w:ascii="Arial" w:eastAsiaTheme="minorHAnsi" w:hAnsi="Arial" w:cs="Arial"/>
          <w:sz w:val="20"/>
          <w:szCs w:val="20"/>
          <w:lang w:val="en-US" w:eastAsia="nb-NO"/>
        </w:rPr>
        <w:t>)</w:t>
      </w:r>
    </w:p>
    <w:p w14:paraId="618B5FB5" w14:textId="77777777" w:rsidR="00F17A8E" w:rsidRPr="000913CE" w:rsidRDefault="00F17A8E" w:rsidP="00F17A8E">
      <w:pPr>
        <w:pStyle w:val="Default"/>
        <w:jc w:val="both"/>
        <w:rPr>
          <w:rFonts w:ascii="Arial" w:eastAsiaTheme="minorHAnsi" w:hAnsi="Arial" w:cs="Arial"/>
          <w:sz w:val="20"/>
          <w:szCs w:val="20"/>
          <w:lang w:val="en-US" w:eastAsia="nb-NO"/>
        </w:rPr>
      </w:pPr>
    </w:p>
    <w:p w14:paraId="524ACFEB" w14:textId="0F02587E" w:rsidR="001961C0" w:rsidRDefault="001961C0">
      <w:pPr>
        <w:spacing w:before="0" w:after="200" w:line="276" w:lineRule="auto"/>
        <w:jc w:val="left"/>
        <w:rPr>
          <w:rFonts w:ascii="Arial" w:eastAsiaTheme="minorHAnsi" w:hAnsi="Arial" w:cs="Arial"/>
          <w:color w:val="000000"/>
          <w:sz w:val="20"/>
          <w:szCs w:val="20"/>
          <w:lang w:val="en-US" w:eastAsia="nb-NO"/>
        </w:rPr>
      </w:pPr>
      <w:r>
        <w:rPr>
          <w:rFonts w:ascii="Arial" w:eastAsiaTheme="minorHAnsi" w:hAnsi="Arial" w:cs="Arial"/>
          <w:sz w:val="20"/>
          <w:szCs w:val="20"/>
          <w:lang w:val="en-US" w:eastAsia="nb-NO"/>
        </w:rPr>
        <w:br w:type="page"/>
      </w:r>
    </w:p>
    <w:bookmarkEnd w:id="5"/>
    <w:bookmarkEnd w:id="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0"/>
      </w:tblGrid>
      <w:tr w:rsidR="001F08BE" w:rsidRPr="00EC40E2" w14:paraId="28AB304E" w14:textId="77777777" w:rsidTr="00477126">
        <w:trPr>
          <w:trHeight w:val="396"/>
          <w:jc w:val="center"/>
        </w:trPr>
        <w:tc>
          <w:tcPr>
            <w:tcW w:w="9060" w:type="dxa"/>
            <w:shd w:val="clear" w:color="auto" w:fill="E5B8B7" w:themeFill="accent2" w:themeFillTint="66"/>
            <w:vAlign w:val="center"/>
          </w:tcPr>
          <w:p w14:paraId="4062C84E" w14:textId="7F93297B" w:rsidR="001F08BE" w:rsidRPr="00EC40E2" w:rsidRDefault="00601109" w:rsidP="001F08BE">
            <w:pPr>
              <w:pStyle w:val="Default"/>
              <w:jc w:val="center"/>
              <w:rPr>
                <w:rFonts w:ascii="Arial" w:hAnsi="Arial" w:cs="Arial"/>
                <w:b/>
                <w:color w:val="17365D"/>
                <w:sz w:val="20"/>
                <w:szCs w:val="20"/>
              </w:rPr>
            </w:pPr>
            <w:r w:rsidRPr="004A41E5">
              <w:rPr>
                <w:i/>
                <w:lang w:val="en-US" w:eastAsia="de-DE"/>
              </w:rPr>
              <w:lastRenderedPageBreak/>
              <w:br w:type="page"/>
            </w:r>
            <w:r w:rsidR="001F08BE" w:rsidRPr="00EC40E2">
              <w:rPr>
                <w:rFonts w:ascii="Arial" w:hAnsi="Arial" w:cs="Arial"/>
                <w:b/>
                <w:color w:val="17365D"/>
                <w:sz w:val="20"/>
                <w:szCs w:val="20"/>
              </w:rPr>
              <w:t>ADDITIONAL INFORMATION</w:t>
            </w:r>
            <w:r w:rsidR="001F08BE">
              <w:rPr>
                <w:rFonts w:ascii="Arial" w:hAnsi="Arial" w:cs="Arial"/>
                <w:b/>
                <w:color w:val="17365D"/>
                <w:sz w:val="20"/>
                <w:szCs w:val="20"/>
              </w:rPr>
              <w:t xml:space="preserve"> TO REPORTING TABLE 3</w:t>
            </w:r>
            <w:r w:rsidR="001F08BE" w:rsidRPr="00EC40E2">
              <w:rPr>
                <w:rFonts w:ascii="Arial" w:hAnsi="Arial" w:cs="Arial"/>
                <w:b/>
                <w:color w:val="17365D"/>
                <w:sz w:val="20"/>
                <w:szCs w:val="20"/>
              </w:rPr>
              <w:t xml:space="preserve"> –</w:t>
            </w:r>
            <w:r w:rsidR="001F08BE">
              <w:rPr>
                <w:rFonts w:ascii="Arial" w:hAnsi="Arial" w:cs="Arial"/>
                <w:b/>
                <w:color w:val="17365D"/>
                <w:sz w:val="20"/>
                <w:szCs w:val="20"/>
              </w:rPr>
              <w:t xml:space="preserve"> </w:t>
            </w:r>
            <w:r w:rsidR="00C604B4" w:rsidRPr="00C604B4">
              <w:rPr>
                <w:rFonts w:ascii="Arial" w:hAnsi="Arial" w:cs="Arial"/>
                <w:b/>
                <w:color w:val="17365D"/>
                <w:sz w:val="20"/>
                <w:szCs w:val="20"/>
              </w:rPr>
              <w:t>COMPLEMENTARY INFORMATION ON COMMON PROJECTS AND ON UNION ASSISTANCE PROGRAMME</w:t>
            </w:r>
          </w:p>
        </w:tc>
      </w:tr>
    </w:tbl>
    <w:p w14:paraId="4A68DD41" w14:textId="77777777" w:rsidR="001F08BE" w:rsidRDefault="001F08BE" w:rsidP="001F08BE">
      <w:pPr>
        <w:pStyle w:val="Default"/>
        <w:jc w:val="both"/>
        <w:rPr>
          <w:rFonts w:ascii="Arial" w:hAnsi="Arial" w:cs="Arial"/>
          <w:color w:val="17365D"/>
          <w:sz w:val="20"/>
          <w:szCs w:val="20"/>
        </w:rPr>
      </w:pPr>
    </w:p>
    <w:p w14:paraId="33FCD3F1" w14:textId="77777777" w:rsidR="001F08BE" w:rsidRDefault="001F08BE" w:rsidP="001F08BE">
      <w:pPr>
        <w:pStyle w:val="Default"/>
        <w:jc w:val="both"/>
        <w:rPr>
          <w:rFonts w:ascii="Arial" w:hAnsi="Arial" w:cs="Arial"/>
          <w:color w:val="17365D"/>
          <w:sz w:val="20"/>
          <w:szCs w:val="20"/>
        </w:rPr>
      </w:pPr>
    </w:p>
    <w:p w14:paraId="055B896A" w14:textId="77777777" w:rsidR="001F08BE" w:rsidRPr="00CA5B88" w:rsidRDefault="001F08BE" w:rsidP="001F08BE">
      <w:pPr>
        <w:pStyle w:val="Default"/>
        <w:jc w:val="both"/>
        <w:rPr>
          <w:rFonts w:ascii="Arial" w:hAnsi="Arial" w:cs="Arial"/>
          <w:color w:val="17365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9060"/>
      </w:tblGrid>
      <w:tr w:rsidR="001F08BE" w:rsidRPr="00CA5B88" w14:paraId="324BEC01" w14:textId="77777777" w:rsidTr="00C604B4">
        <w:tc>
          <w:tcPr>
            <w:tcW w:w="9242" w:type="dxa"/>
            <w:shd w:val="clear" w:color="auto" w:fill="E5B8B7" w:themeFill="accent2" w:themeFillTint="66"/>
          </w:tcPr>
          <w:p w14:paraId="23B35837" w14:textId="77777777" w:rsidR="001F08BE" w:rsidRPr="00CA5B88" w:rsidRDefault="00C604B4" w:rsidP="00C604B4">
            <w:pPr>
              <w:pStyle w:val="Default"/>
              <w:spacing w:before="60" w:after="60"/>
              <w:rPr>
                <w:rFonts w:ascii="Arial" w:hAnsi="Arial" w:cs="Arial"/>
                <w:b/>
                <w:color w:val="17365D"/>
                <w:sz w:val="20"/>
                <w:szCs w:val="20"/>
              </w:rPr>
            </w:pPr>
            <w:r>
              <w:rPr>
                <w:rFonts w:ascii="Arial" w:hAnsi="Arial" w:cs="Arial"/>
                <w:b/>
                <w:color w:val="17365D"/>
                <w:sz w:val="20"/>
                <w:szCs w:val="20"/>
              </w:rPr>
              <w:t>l</w:t>
            </w:r>
            <w:r w:rsidR="001F08BE">
              <w:rPr>
                <w:rFonts w:ascii="Arial" w:hAnsi="Arial" w:cs="Arial"/>
                <w:b/>
                <w:color w:val="17365D"/>
                <w:sz w:val="20"/>
                <w:szCs w:val="20"/>
              </w:rPr>
              <w:t xml:space="preserve">) </w:t>
            </w:r>
            <w:r>
              <w:rPr>
                <w:rFonts w:ascii="Arial" w:hAnsi="Arial" w:cs="Arial"/>
                <w:b/>
                <w:color w:val="17365D"/>
                <w:sz w:val="20"/>
                <w:szCs w:val="20"/>
              </w:rPr>
              <w:t>I</w:t>
            </w:r>
            <w:r w:rsidRPr="00C604B4">
              <w:rPr>
                <w:rFonts w:ascii="Arial" w:hAnsi="Arial" w:cs="Arial"/>
                <w:b/>
                <w:color w:val="17365D"/>
                <w:sz w:val="20"/>
                <w:szCs w:val="20"/>
              </w:rPr>
              <w:t>nformation on the costs of common projects and other funded projects broken down per individual project, as well as of public funds obtained from public authorities for these projects.</w:t>
            </w:r>
          </w:p>
        </w:tc>
      </w:tr>
    </w:tbl>
    <w:p w14:paraId="25A9BAC8" w14:textId="77777777" w:rsidR="001F08BE" w:rsidRDefault="001F08BE" w:rsidP="001F08BE">
      <w:pPr>
        <w:pStyle w:val="Default"/>
        <w:jc w:val="both"/>
        <w:rPr>
          <w:rFonts w:ascii="Arial" w:hAnsi="Arial" w:cs="Arial"/>
          <w:color w:val="17365D"/>
          <w:sz w:val="20"/>
          <w:szCs w:val="20"/>
        </w:rPr>
      </w:pPr>
    </w:p>
    <w:p w14:paraId="42A0458E" w14:textId="06586221" w:rsidR="006A7D68" w:rsidRDefault="006A7D68" w:rsidP="00F17F66">
      <w:pPr>
        <w:pStyle w:val="Brdtekstinnrykk2"/>
        <w:ind w:left="0"/>
        <w:rPr>
          <w:spacing w:val="-2"/>
          <w:szCs w:val="20"/>
        </w:rPr>
      </w:pPr>
      <w:r>
        <w:rPr>
          <w:spacing w:val="-2"/>
          <w:szCs w:val="20"/>
        </w:rPr>
        <w:t>A share of c</w:t>
      </w:r>
      <w:r w:rsidR="00F17F66" w:rsidRPr="003721F3">
        <w:rPr>
          <w:spacing w:val="-2"/>
          <w:szCs w:val="20"/>
        </w:rPr>
        <w:t xml:space="preserve">osts of common projects (depreciations) related to investments of 118 MNOK </w:t>
      </w:r>
      <w:r>
        <w:rPr>
          <w:spacing w:val="-2"/>
          <w:szCs w:val="20"/>
        </w:rPr>
        <w:t>from</w:t>
      </w:r>
      <w:r w:rsidR="00F17F66" w:rsidRPr="003721F3">
        <w:rPr>
          <w:spacing w:val="-2"/>
          <w:szCs w:val="20"/>
        </w:rPr>
        <w:t xml:space="preserve"> previous reference period </w:t>
      </w:r>
      <w:r>
        <w:rPr>
          <w:spacing w:val="-2"/>
          <w:szCs w:val="20"/>
        </w:rPr>
        <w:t>(</w:t>
      </w:r>
      <w:r w:rsidR="00F17F66" w:rsidRPr="003721F3">
        <w:rPr>
          <w:spacing w:val="-2"/>
          <w:szCs w:val="20"/>
        </w:rPr>
        <w:t>RP2</w:t>
      </w:r>
      <w:r>
        <w:rPr>
          <w:spacing w:val="-2"/>
          <w:szCs w:val="20"/>
        </w:rPr>
        <w:t>)</w:t>
      </w:r>
      <w:r w:rsidR="00F17F66" w:rsidRPr="003721F3">
        <w:rPr>
          <w:spacing w:val="-2"/>
          <w:szCs w:val="20"/>
        </w:rPr>
        <w:t>, amount</w:t>
      </w:r>
      <w:r>
        <w:rPr>
          <w:spacing w:val="-2"/>
          <w:szCs w:val="20"/>
        </w:rPr>
        <w:t>ing</w:t>
      </w:r>
      <w:r w:rsidR="00F17F66" w:rsidRPr="003721F3">
        <w:rPr>
          <w:spacing w:val="-2"/>
          <w:szCs w:val="20"/>
        </w:rPr>
        <w:t xml:space="preserve"> to 64,3 MNOK</w:t>
      </w:r>
      <w:r>
        <w:rPr>
          <w:spacing w:val="-2"/>
          <w:szCs w:val="20"/>
        </w:rPr>
        <w:t>,</w:t>
      </w:r>
      <w:r w:rsidR="00F17F66" w:rsidRPr="003721F3">
        <w:rPr>
          <w:spacing w:val="-2"/>
          <w:szCs w:val="20"/>
        </w:rPr>
        <w:t xml:space="preserve"> is carried over </w:t>
      </w:r>
      <w:r>
        <w:rPr>
          <w:spacing w:val="-2"/>
          <w:szCs w:val="20"/>
        </w:rPr>
        <w:t xml:space="preserve">to </w:t>
      </w:r>
      <w:r w:rsidR="00F17F66" w:rsidRPr="003721F3">
        <w:rPr>
          <w:spacing w:val="-2"/>
          <w:szCs w:val="20"/>
        </w:rPr>
        <w:t xml:space="preserve">the first three years </w:t>
      </w:r>
      <w:r>
        <w:rPr>
          <w:spacing w:val="-2"/>
          <w:szCs w:val="20"/>
        </w:rPr>
        <w:t>of</w:t>
      </w:r>
      <w:r w:rsidR="00F17F66" w:rsidRPr="003721F3">
        <w:rPr>
          <w:spacing w:val="-2"/>
          <w:szCs w:val="20"/>
        </w:rPr>
        <w:t xml:space="preserve"> the current reference period RP3. </w:t>
      </w:r>
    </w:p>
    <w:p w14:paraId="253BD0C1" w14:textId="77777777" w:rsidR="006A7D68" w:rsidRDefault="006A7D68" w:rsidP="00F17F66">
      <w:pPr>
        <w:pStyle w:val="Brdtekstinnrykk2"/>
        <w:ind w:left="0"/>
        <w:rPr>
          <w:spacing w:val="-2"/>
          <w:szCs w:val="20"/>
        </w:rPr>
      </w:pPr>
    </w:p>
    <w:p w14:paraId="490CB90C" w14:textId="6AC9F29F" w:rsidR="00F17F66" w:rsidRPr="003721F3" w:rsidRDefault="006A7D68" w:rsidP="00F17F66">
      <w:pPr>
        <w:pStyle w:val="Brdtekstinnrykk2"/>
        <w:ind w:left="0"/>
        <w:rPr>
          <w:spacing w:val="-2"/>
          <w:szCs w:val="20"/>
        </w:rPr>
      </w:pPr>
      <w:r>
        <w:rPr>
          <w:spacing w:val="-2"/>
          <w:szCs w:val="20"/>
        </w:rPr>
        <w:t>A share of the g</w:t>
      </w:r>
      <w:r w:rsidR="00F17F66" w:rsidRPr="003721F3">
        <w:rPr>
          <w:spacing w:val="-2"/>
          <w:szCs w:val="20"/>
        </w:rPr>
        <w:t>ranted public funds (INEA) stemming from the above mention project, amount</w:t>
      </w:r>
      <w:r>
        <w:rPr>
          <w:spacing w:val="-2"/>
          <w:szCs w:val="20"/>
        </w:rPr>
        <w:t>ing</w:t>
      </w:r>
      <w:r w:rsidR="00F17F66" w:rsidRPr="003721F3">
        <w:rPr>
          <w:spacing w:val="-2"/>
          <w:szCs w:val="20"/>
        </w:rPr>
        <w:t xml:space="preserve"> to 19,3 MNOK, </w:t>
      </w:r>
      <w:r w:rsidRPr="003721F3">
        <w:rPr>
          <w:spacing w:val="-2"/>
          <w:szCs w:val="20"/>
        </w:rPr>
        <w:t xml:space="preserve">is carried over </w:t>
      </w:r>
      <w:r>
        <w:rPr>
          <w:spacing w:val="-2"/>
          <w:szCs w:val="20"/>
        </w:rPr>
        <w:t>to RP3. This a</w:t>
      </w:r>
      <w:r w:rsidR="00F17F66" w:rsidRPr="003721F3">
        <w:rPr>
          <w:spacing w:val="-2"/>
          <w:szCs w:val="20"/>
        </w:rPr>
        <w:t>ffect</w:t>
      </w:r>
      <w:r>
        <w:rPr>
          <w:spacing w:val="-2"/>
          <w:szCs w:val="20"/>
        </w:rPr>
        <w:t>s</w:t>
      </w:r>
      <w:r w:rsidR="00F17F66" w:rsidRPr="003721F3">
        <w:rPr>
          <w:spacing w:val="-2"/>
          <w:szCs w:val="20"/>
        </w:rPr>
        <w:t xml:space="preserve"> the unit rates </w:t>
      </w:r>
      <w:r>
        <w:rPr>
          <w:spacing w:val="-2"/>
          <w:szCs w:val="20"/>
        </w:rPr>
        <w:t xml:space="preserve">for </w:t>
      </w:r>
      <w:r w:rsidR="00F17F66" w:rsidRPr="003721F3">
        <w:rPr>
          <w:spacing w:val="-2"/>
          <w:szCs w:val="20"/>
        </w:rPr>
        <w:t xml:space="preserve">the first three years </w:t>
      </w:r>
      <w:r>
        <w:rPr>
          <w:spacing w:val="-2"/>
          <w:szCs w:val="20"/>
        </w:rPr>
        <w:t>of</w:t>
      </w:r>
      <w:r w:rsidR="00F17F66" w:rsidRPr="003721F3">
        <w:rPr>
          <w:spacing w:val="-2"/>
          <w:szCs w:val="20"/>
        </w:rPr>
        <w:t xml:space="preserve"> RP3 (ref. </w:t>
      </w:r>
      <w:proofErr w:type="spellStart"/>
      <w:r w:rsidR="00F17F66" w:rsidRPr="003721F3">
        <w:rPr>
          <w:spacing w:val="-2"/>
          <w:szCs w:val="20"/>
        </w:rPr>
        <w:t>en</w:t>
      </w:r>
      <w:proofErr w:type="spellEnd"/>
      <w:r w:rsidR="00F17F66" w:rsidRPr="003721F3">
        <w:rPr>
          <w:spacing w:val="-2"/>
          <w:szCs w:val="20"/>
        </w:rPr>
        <w:t xml:space="preserve"> route reporting tables RP3, sheet T1, item 3.9 and sheet T2, item 13.8)</w:t>
      </w:r>
      <w:r w:rsidR="00F17F66">
        <w:rPr>
          <w:spacing w:val="-2"/>
          <w:szCs w:val="20"/>
        </w:rPr>
        <w:t>.</w:t>
      </w:r>
    </w:p>
    <w:p w14:paraId="0823D043" w14:textId="77777777" w:rsidR="00F17F66" w:rsidRPr="003721F3" w:rsidRDefault="00F17F66" w:rsidP="00F17F66">
      <w:pPr>
        <w:pStyle w:val="Brdtekstinnrykk2"/>
        <w:ind w:left="0"/>
        <w:rPr>
          <w:spacing w:val="-2"/>
          <w:szCs w:val="20"/>
        </w:rPr>
      </w:pPr>
    </w:p>
    <w:p w14:paraId="60F95814" w14:textId="4E4FBC46" w:rsidR="00F17F66" w:rsidRPr="003721F3" w:rsidRDefault="00F17F66" w:rsidP="00F17F66">
      <w:pPr>
        <w:pStyle w:val="Brdtekstinnrykk2"/>
        <w:ind w:left="0"/>
        <w:rPr>
          <w:spacing w:val="-2"/>
          <w:szCs w:val="20"/>
        </w:rPr>
      </w:pPr>
      <w:r>
        <w:rPr>
          <w:spacing w:val="-2"/>
          <w:szCs w:val="20"/>
        </w:rPr>
        <w:t xml:space="preserve">There </w:t>
      </w:r>
      <w:r w:rsidR="006A7D68">
        <w:rPr>
          <w:spacing w:val="-2"/>
          <w:szCs w:val="20"/>
        </w:rPr>
        <w:t>are</w:t>
      </w:r>
      <w:r>
        <w:rPr>
          <w:spacing w:val="-2"/>
          <w:szCs w:val="20"/>
        </w:rPr>
        <w:t xml:space="preserve"> no c</w:t>
      </w:r>
      <w:r w:rsidRPr="003721F3">
        <w:rPr>
          <w:spacing w:val="-2"/>
          <w:szCs w:val="20"/>
        </w:rPr>
        <w:t xml:space="preserve">osts of common projects and public funds </w:t>
      </w:r>
      <w:r w:rsidR="00A2728C">
        <w:rPr>
          <w:spacing w:val="-2"/>
          <w:szCs w:val="20"/>
        </w:rPr>
        <w:t>in relation to</w:t>
      </w:r>
      <w:r w:rsidRPr="003721F3">
        <w:rPr>
          <w:spacing w:val="-2"/>
          <w:szCs w:val="20"/>
        </w:rPr>
        <w:t xml:space="preserve"> investments in</w:t>
      </w:r>
      <w:r>
        <w:rPr>
          <w:spacing w:val="-2"/>
          <w:szCs w:val="20"/>
        </w:rPr>
        <w:t xml:space="preserve"> RP3.</w:t>
      </w:r>
    </w:p>
    <w:p w14:paraId="58B4EAE1" w14:textId="77777777" w:rsidR="00F17F66" w:rsidRPr="003721F3" w:rsidRDefault="00F17F66" w:rsidP="00F17F66">
      <w:pPr>
        <w:pStyle w:val="Brdtekstinnrykk2"/>
        <w:ind w:left="0"/>
        <w:rPr>
          <w:spacing w:val="-2"/>
          <w:szCs w:val="20"/>
        </w:rPr>
      </w:pPr>
    </w:p>
    <w:p w14:paraId="2FA39DFE" w14:textId="77777777" w:rsidR="00F17F66" w:rsidRPr="003721F3" w:rsidRDefault="00F17F66" w:rsidP="00F17F66">
      <w:pPr>
        <w:pStyle w:val="Brdtekstinnrykk2"/>
        <w:ind w:left="0"/>
        <w:rPr>
          <w:spacing w:val="-2"/>
          <w:szCs w:val="20"/>
        </w:rPr>
      </w:pPr>
      <w:r w:rsidRPr="003721F3">
        <w:rPr>
          <w:spacing w:val="-2"/>
          <w:szCs w:val="20"/>
        </w:rPr>
        <w:t>Norway is not part of the European Union’s CEF funding program and is not directly eligible for CEF funding for implementing SESAR solutions.</w:t>
      </w:r>
    </w:p>
    <w:p w14:paraId="779DD9C7" w14:textId="77777777" w:rsidR="00F424DF" w:rsidRDefault="00F424DF" w:rsidP="001F08BE">
      <w:pPr>
        <w:pStyle w:val="Default"/>
        <w:jc w:val="both"/>
        <w:rPr>
          <w:rFonts w:ascii="Arial" w:hAnsi="Arial" w:cs="Arial"/>
          <w:color w:val="17365D"/>
          <w:sz w:val="20"/>
          <w:szCs w:val="20"/>
        </w:rPr>
      </w:pPr>
    </w:p>
    <w:p w14:paraId="7DB894E9" w14:textId="77777777" w:rsidR="001F08BE" w:rsidRPr="00CA5B88" w:rsidRDefault="001F08BE" w:rsidP="001F08BE">
      <w:pPr>
        <w:pStyle w:val="Default"/>
        <w:jc w:val="both"/>
        <w:rPr>
          <w:rFonts w:ascii="Arial" w:hAnsi="Arial" w:cs="Arial"/>
          <w:color w:val="17365D"/>
          <w:sz w:val="20"/>
          <w:szCs w:val="20"/>
        </w:rPr>
      </w:pPr>
    </w:p>
    <w:p w14:paraId="2D35A4F5" w14:textId="77777777" w:rsidR="001F08BE" w:rsidRDefault="001F08BE" w:rsidP="001F08BE">
      <w:pPr>
        <w:jc w:val="center"/>
        <w:rPr>
          <w:i/>
          <w:lang w:eastAsia="de-DE"/>
        </w:rPr>
      </w:pPr>
    </w:p>
    <w:sectPr w:rsidR="001F08BE" w:rsidSect="00D42FEE">
      <w:headerReference w:type="even" r:id="rId22"/>
      <w:headerReference w:type="default" r:id="rId23"/>
      <w:footerReference w:type="even" r:id="rId24"/>
      <w:footerReference w:type="default" r:id="rId25"/>
      <w:headerReference w:type="first" r:id="rId26"/>
      <w:footerReference w:type="first" r:id="rId2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DE667" w14:textId="77777777" w:rsidR="002D5CD2" w:rsidRDefault="002D5CD2" w:rsidP="00933908">
      <w:pPr>
        <w:spacing w:before="0" w:after="0"/>
      </w:pPr>
      <w:r>
        <w:separator/>
      </w:r>
    </w:p>
  </w:endnote>
  <w:endnote w:type="continuationSeparator" w:id="0">
    <w:p w14:paraId="3CE763D8" w14:textId="77777777" w:rsidR="002D5CD2" w:rsidRDefault="002D5CD2" w:rsidP="00933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514BE" w14:textId="77777777" w:rsidR="002D5CD2" w:rsidRDefault="002D5CD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49650"/>
      <w:docPartObj>
        <w:docPartGallery w:val="Page Numbers (Bottom of Page)"/>
        <w:docPartUnique/>
      </w:docPartObj>
    </w:sdtPr>
    <w:sdtEndPr>
      <w:rPr>
        <w:noProof/>
      </w:rPr>
    </w:sdtEndPr>
    <w:sdtContent>
      <w:p w14:paraId="096EA373" w14:textId="3013532F" w:rsidR="002D5CD2" w:rsidRDefault="002D5CD2">
        <w:pPr>
          <w:pStyle w:val="Bunntekst"/>
          <w:jc w:val="right"/>
        </w:pPr>
        <w:r>
          <w:fldChar w:fldCharType="begin"/>
        </w:r>
        <w:r>
          <w:instrText xml:space="preserve"> PAGE   \* MERGEFORMAT </w:instrText>
        </w:r>
        <w:r>
          <w:fldChar w:fldCharType="separate"/>
        </w:r>
        <w:r>
          <w:rPr>
            <w:noProof/>
          </w:rPr>
          <w:t>4</w:t>
        </w:r>
        <w:r>
          <w:rPr>
            <w:noProof/>
          </w:rPr>
          <w:fldChar w:fldCharType="end"/>
        </w:r>
      </w:p>
    </w:sdtContent>
  </w:sdt>
  <w:p w14:paraId="74811C49" w14:textId="77777777" w:rsidR="002D5CD2" w:rsidRDefault="002D5CD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6E40" w14:textId="77777777" w:rsidR="002D5CD2" w:rsidRDefault="002D5C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7E38D" w14:textId="77777777" w:rsidR="002D5CD2" w:rsidRDefault="002D5CD2" w:rsidP="00933908">
      <w:pPr>
        <w:spacing w:before="0" w:after="0"/>
      </w:pPr>
      <w:r>
        <w:separator/>
      </w:r>
    </w:p>
  </w:footnote>
  <w:footnote w:type="continuationSeparator" w:id="0">
    <w:p w14:paraId="06002020" w14:textId="77777777" w:rsidR="002D5CD2" w:rsidRDefault="002D5CD2" w:rsidP="009339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D5F1" w14:textId="77777777" w:rsidR="002D5CD2" w:rsidRDefault="002D5CD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2989C" w14:textId="459A2B1D" w:rsidR="002D5CD2" w:rsidRPr="00D97BF9" w:rsidRDefault="002D5CD2" w:rsidP="00D97BF9">
    <w:pPr>
      <w:pStyle w:val="Topptekst"/>
      <w:jc w:val="center"/>
      <w:rPr>
        <w:b/>
        <w:color w:val="0070C0"/>
        <w:lang w:val="fr-BE"/>
      </w:rPr>
    </w:pPr>
    <w:r w:rsidRPr="00D97BF9">
      <w:rPr>
        <w:b/>
        <w:color w:val="0070C0"/>
        <w:lang w:val="fr-BE"/>
      </w:rPr>
      <w:t xml:space="preserve">En-route Charging Zone </w:t>
    </w:r>
    <w:r>
      <w:rPr>
        <w:b/>
        <w:color w:val="0070C0"/>
        <w:lang w:val="fr-BE"/>
      </w:rPr>
      <w:t>Norway</w:t>
    </w:r>
  </w:p>
  <w:p w14:paraId="52056B2B" w14:textId="77777777" w:rsidR="002D5CD2" w:rsidRPr="00D97BF9" w:rsidRDefault="002D5CD2" w:rsidP="00D97BF9">
    <w:pPr>
      <w:pStyle w:val="Topptekst"/>
      <w:jc w:val="center"/>
      <w:rPr>
        <w:b/>
        <w:color w:val="0070C0"/>
        <w:lang w:val="fr-BE"/>
      </w:rPr>
    </w:pPr>
    <w:r w:rsidRPr="00D97BF9">
      <w:rPr>
        <w:b/>
        <w:color w:val="0070C0"/>
        <w:lang w:val="fr-BE"/>
      </w:rPr>
      <w:t>Reference Period 3 (2020-2024)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5E71" w14:textId="77777777" w:rsidR="002D5CD2" w:rsidRDefault="002D5C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6B91"/>
    <w:multiLevelType w:val="multilevel"/>
    <w:tmpl w:val="8AB61200"/>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2"/>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 w15:restartNumberingAfterBreak="0">
    <w:nsid w:val="0D2B4E29"/>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8573BD"/>
    <w:multiLevelType w:val="multilevel"/>
    <w:tmpl w:val="B4FCAD58"/>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3" w15:restartNumberingAfterBreak="0">
    <w:nsid w:val="2658444A"/>
    <w:multiLevelType w:val="hybridMultilevel"/>
    <w:tmpl w:val="10FCE5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9BB16AB"/>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5" w15:restartNumberingAfterBreak="0">
    <w:nsid w:val="469C1872"/>
    <w:multiLevelType w:val="hybridMultilevel"/>
    <w:tmpl w:val="810640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1205324"/>
    <w:multiLevelType w:val="hybridMultilevel"/>
    <w:tmpl w:val="CB446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672F399F"/>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7BA1026"/>
    <w:multiLevelType w:val="hybridMultilevel"/>
    <w:tmpl w:val="4E220580"/>
    <w:lvl w:ilvl="0" w:tplc="86AC0B14">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E7A0282"/>
    <w:multiLevelType w:val="multilevel"/>
    <w:tmpl w:val="4358034A"/>
    <w:lvl w:ilvl="0">
      <w:start w:val="1"/>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i w:val="0"/>
      </w:rPr>
    </w:lvl>
    <w:lvl w:ilvl="4">
      <w:start w:val="1"/>
      <w:numFmt w:val="lowerRoman"/>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0" w15:restartNumberingAfterBreak="0">
    <w:nsid w:val="789E283C"/>
    <w:multiLevelType w:val="hybridMultilevel"/>
    <w:tmpl w:val="2FBA4E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7"/>
  </w:num>
  <w:num w:numId="6">
    <w:abstractNumId w:val="1"/>
  </w:num>
  <w:num w:numId="7">
    <w:abstractNumId w:val="8"/>
  </w:num>
  <w:num w:numId="8">
    <w:abstractNumId w:val="10"/>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49"/>
    <w:rsid w:val="000007C0"/>
    <w:rsid w:val="000015BA"/>
    <w:rsid w:val="00004DE7"/>
    <w:rsid w:val="00005D6C"/>
    <w:rsid w:val="00015E4A"/>
    <w:rsid w:val="00017D37"/>
    <w:rsid w:val="000263BD"/>
    <w:rsid w:val="0002647B"/>
    <w:rsid w:val="00036438"/>
    <w:rsid w:val="00036EF5"/>
    <w:rsid w:val="00040114"/>
    <w:rsid w:val="00042833"/>
    <w:rsid w:val="00050BA1"/>
    <w:rsid w:val="00054E1C"/>
    <w:rsid w:val="0006125E"/>
    <w:rsid w:val="00066131"/>
    <w:rsid w:val="00072045"/>
    <w:rsid w:val="00075E2E"/>
    <w:rsid w:val="00076313"/>
    <w:rsid w:val="00080002"/>
    <w:rsid w:val="00085F0B"/>
    <w:rsid w:val="00090261"/>
    <w:rsid w:val="000913CE"/>
    <w:rsid w:val="000957A0"/>
    <w:rsid w:val="00095D3C"/>
    <w:rsid w:val="000A0802"/>
    <w:rsid w:val="000C39BF"/>
    <w:rsid w:val="000C7D4E"/>
    <w:rsid w:val="000D1609"/>
    <w:rsid w:val="000D30D7"/>
    <w:rsid w:val="000D6F98"/>
    <w:rsid w:val="000E6EC3"/>
    <w:rsid w:val="000F0873"/>
    <w:rsid w:val="000F3419"/>
    <w:rsid w:val="000F607A"/>
    <w:rsid w:val="000F62F1"/>
    <w:rsid w:val="00101A01"/>
    <w:rsid w:val="0010323C"/>
    <w:rsid w:val="00104D79"/>
    <w:rsid w:val="001056D0"/>
    <w:rsid w:val="0010691F"/>
    <w:rsid w:val="00115990"/>
    <w:rsid w:val="001170D6"/>
    <w:rsid w:val="0011797A"/>
    <w:rsid w:val="00124203"/>
    <w:rsid w:val="00131750"/>
    <w:rsid w:val="001470FB"/>
    <w:rsid w:val="00154E9C"/>
    <w:rsid w:val="001562EC"/>
    <w:rsid w:val="00156BD3"/>
    <w:rsid w:val="00157F86"/>
    <w:rsid w:val="001961C0"/>
    <w:rsid w:val="001A199E"/>
    <w:rsid w:val="001B0812"/>
    <w:rsid w:val="001B3E69"/>
    <w:rsid w:val="001B6036"/>
    <w:rsid w:val="001B6162"/>
    <w:rsid w:val="001C5BF2"/>
    <w:rsid w:val="001D7A31"/>
    <w:rsid w:val="001E4F4B"/>
    <w:rsid w:val="001F08BE"/>
    <w:rsid w:val="001F0A78"/>
    <w:rsid w:val="002018BF"/>
    <w:rsid w:val="002069E5"/>
    <w:rsid w:val="00221774"/>
    <w:rsid w:val="00230426"/>
    <w:rsid w:val="00230DD9"/>
    <w:rsid w:val="00235CC5"/>
    <w:rsid w:val="00237BC9"/>
    <w:rsid w:val="00240806"/>
    <w:rsid w:val="00242CC3"/>
    <w:rsid w:val="0024643E"/>
    <w:rsid w:val="00260924"/>
    <w:rsid w:val="002611D7"/>
    <w:rsid w:val="00272E86"/>
    <w:rsid w:val="002773A2"/>
    <w:rsid w:val="002778DF"/>
    <w:rsid w:val="00277BB7"/>
    <w:rsid w:val="002840E6"/>
    <w:rsid w:val="00286D9B"/>
    <w:rsid w:val="00292217"/>
    <w:rsid w:val="0029794E"/>
    <w:rsid w:val="002A33AD"/>
    <w:rsid w:val="002A6A72"/>
    <w:rsid w:val="002B56C2"/>
    <w:rsid w:val="002C30D4"/>
    <w:rsid w:val="002C4F49"/>
    <w:rsid w:val="002C5088"/>
    <w:rsid w:val="002D16A8"/>
    <w:rsid w:val="002D5CD2"/>
    <w:rsid w:val="002D6CCF"/>
    <w:rsid w:val="002D75D6"/>
    <w:rsid w:val="002E7781"/>
    <w:rsid w:val="002F579C"/>
    <w:rsid w:val="003058BF"/>
    <w:rsid w:val="00306296"/>
    <w:rsid w:val="0031516C"/>
    <w:rsid w:val="00320398"/>
    <w:rsid w:val="003235E2"/>
    <w:rsid w:val="0033360F"/>
    <w:rsid w:val="00334D3C"/>
    <w:rsid w:val="0034665C"/>
    <w:rsid w:val="003476B4"/>
    <w:rsid w:val="003520B8"/>
    <w:rsid w:val="00352E4E"/>
    <w:rsid w:val="0036192E"/>
    <w:rsid w:val="003634D2"/>
    <w:rsid w:val="00367786"/>
    <w:rsid w:val="00371D0D"/>
    <w:rsid w:val="00374A85"/>
    <w:rsid w:val="00382362"/>
    <w:rsid w:val="00396C61"/>
    <w:rsid w:val="003B6BFF"/>
    <w:rsid w:val="003D6459"/>
    <w:rsid w:val="003E0507"/>
    <w:rsid w:val="003E34BB"/>
    <w:rsid w:val="003F26E8"/>
    <w:rsid w:val="004110B3"/>
    <w:rsid w:val="0042387D"/>
    <w:rsid w:val="00425B90"/>
    <w:rsid w:val="00426A37"/>
    <w:rsid w:val="00427C81"/>
    <w:rsid w:val="004350EA"/>
    <w:rsid w:val="004445BC"/>
    <w:rsid w:val="00446E7B"/>
    <w:rsid w:val="004566BA"/>
    <w:rsid w:val="00466BBE"/>
    <w:rsid w:val="00470900"/>
    <w:rsid w:val="00472590"/>
    <w:rsid w:val="0047358E"/>
    <w:rsid w:val="00476671"/>
    <w:rsid w:val="00477126"/>
    <w:rsid w:val="004821A1"/>
    <w:rsid w:val="00483CE8"/>
    <w:rsid w:val="00484A48"/>
    <w:rsid w:val="00485A1F"/>
    <w:rsid w:val="00493134"/>
    <w:rsid w:val="00495266"/>
    <w:rsid w:val="004A1B7C"/>
    <w:rsid w:val="004A41E5"/>
    <w:rsid w:val="004A6F2F"/>
    <w:rsid w:val="004B18B6"/>
    <w:rsid w:val="004B7F07"/>
    <w:rsid w:val="004C438E"/>
    <w:rsid w:val="004C4B2D"/>
    <w:rsid w:val="004E1215"/>
    <w:rsid w:val="004E1DC6"/>
    <w:rsid w:val="004E4E40"/>
    <w:rsid w:val="004F4C12"/>
    <w:rsid w:val="00501A40"/>
    <w:rsid w:val="00516CD2"/>
    <w:rsid w:val="0051767D"/>
    <w:rsid w:val="0052038E"/>
    <w:rsid w:val="00530D29"/>
    <w:rsid w:val="00530D2D"/>
    <w:rsid w:val="00540C30"/>
    <w:rsid w:val="00544ABA"/>
    <w:rsid w:val="00556F7D"/>
    <w:rsid w:val="0056319C"/>
    <w:rsid w:val="00564A1E"/>
    <w:rsid w:val="00573A6E"/>
    <w:rsid w:val="00581F2E"/>
    <w:rsid w:val="00585EA9"/>
    <w:rsid w:val="005B1146"/>
    <w:rsid w:val="005B4357"/>
    <w:rsid w:val="005C0C52"/>
    <w:rsid w:val="005C3C51"/>
    <w:rsid w:val="005C630C"/>
    <w:rsid w:val="005D3E1D"/>
    <w:rsid w:val="005D74F5"/>
    <w:rsid w:val="005E3610"/>
    <w:rsid w:val="005E42D9"/>
    <w:rsid w:val="005E485A"/>
    <w:rsid w:val="005F1E6D"/>
    <w:rsid w:val="00601109"/>
    <w:rsid w:val="00604563"/>
    <w:rsid w:val="00605BFE"/>
    <w:rsid w:val="006142FE"/>
    <w:rsid w:val="00616B17"/>
    <w:rsid w:val="00616F31"/>
    <w:rsid w:val="00617C27"/>
    <w:rsid w:val="00621FB6"/>
    <w:rsid w:val="00623C92"/>
    <w:rsid w:val="006249E7"/>
    <w:rsid w:val="00625539"/>
    <w:rsid w:val="006377CD"/>
    <w:rsid w:val="00641ABF"/>
    <w:rsid w:val="00646F4C"/>
    <w:rsid w:val="0064731E"/>
    <w:rsid w:val="0065015E"/>
    <w:rsid w:val="00651B2C"/>
    <w:rsid w:val="00661770"/>
    <w:rsid w:val="00661F16"/>
    <w:rsid w:val="00664739"/>
    <w:rsid w:val="00665442"/>
    <w:rsid w:val="00674760"/>
    <w:rsid w:val="00675B65"/>
    <w:rsid w:val="006760BA"/>
    <w:rsid w:val="006807C7"/>
    <w:rsid w:val="006811A1"/>
    <w:rsid w:val="00682D4D"/>
    <w:rsid w:val="00695177"/>
    <w:rsid w:val="006A755F"/>
    <w:rsid w:val="006A7B26"/>
    <w:rsid w:val="006A7D68"/>
    <w:rsid w:val="006B481E"/>
    <w:rsid w:val="006B63F3"/>
    <w:rsid w:val="006C3CB8"/>
    <w:rsid w:val="006C459D"/>
    <w:rsid w:val="006D16F3"/>
    <w:rsid w:val="006E53E8"/>
    <w:rsid w:val="006F0FFA"/>
    <w:rsid w:val="006F383C"/>
    <w:rsid w:val="006F505A"/>
    <w:rsid w:val="006F6950"/>
    <w:rsid w:val="00701F28"/>
    <w:rsid w:val="0070533A"/>
    <w:rsid w:val="007063B7"/>
    <w:rsid w:val="00711220"/>
    <w:rsid w:val="0071303C"/>
    <w:rsid w:val="00713233"/>
    <w:rsid w:val="00715794"/>
    <w:rsid w:val="0072237A"/>
    <w:rsid w:val="007235BE"/>
    <w:rsid w:val="007243E9"/>
    <w:rsid w:val="007263D0"/>
    <w:rsid w:val="00735132"/>
    <w:rsid w:val="00735BE8"/>
    <w:rsid w:val="00746ACF"/>
    <w:rsid w:val="00765FC8"/>
    <w:rsid w:val="00771831"/>
    <w:rsid w:val="007740FF"/>
    <w:rsid w:val="00775946"/>
    <w:rsid w:val="00781B85"/>
    <w:rsid w:val="00781C2B"/>
    <w:rsid w:val="00785EE8"/>
    <w:rsid w:val="007861E1"/>
    <w:rsid w:val="00787A78"/>
    <w:rsid w:val="00793899"/>
    <w:rsid w:val="00797200"/>
    <w:rsid w:val="00797624"/>
    <w:rsid w:val="007A1410"/>
    <w:rsid w:val="007A35E6"/>
    <w:rsid w:val="007A4BA9"/>
    <w:rsid w:val="007A51B1"/>
    <w:rsid w:val="007A5EC2"/>
    <w:rsid w:val="007C04E7"/>
    <w:rsid w:val="007D046B"/>
    <w:rsid w:val="007D0EF4"/>
    <w:rsid w:val="007D1971"/>
    <w:rsid w:val="007D246D"/>
    <w:rsid w:val="007D4278"/>
    <w:rsid w:val="007D793A"/>
    <w:rsid w:val="007E18C5"/>
    <w:rsid w:val="007E55A5"/>
    <w:rsid w:val="007F5EAE"/>
    <w:rsid w:val="0080157D"/>
    <w:rsid w:val="00811F11"/>
    <w:rsid w:val="00813AB0"/>
    <w:rsid w:val="008240E2"/>
    <w:rsid w:val="0084237A"/>
    <w:rsid w:val="00861839"/>
    <w:rsid w:val="0086779A"/>
    <w:rsid w:val="00873047"/>
    <w:rsid w:val="008810E3"/>
    <w:rsid w:val="008863D2"/>
    <w:rsid w:val="008A1392"/>
    <w:rsid w:val="008A66E1"/>
    <w:rsid w:val="008B06AF"/>
    <w:rsid w:val="008C1EAF"/>
    <w:rsid w:val="008C2344"/>
    <w:rsid w:val="008D62E0"/>
    <w:rsid w:val="008D6FC2"/>
    <w:rsid w:val="008E19BE"/>
    <w:rsid w:val="008E22D3"/>
    <w:rsid w:val="008F2082"/>
    <w:rsid w:val="008F74B4"/>
    <w:rsid w:val="009020C7"/>
    <w:rsid w:val="00905AD1"/>
    <w:rsid w:val="00906B33"/>
    <w:rsid w:val="009203C2"/>
    <w:rsid w:val="00922ACB"/>
    <w:rsid w:val="0092670B"/>
    <w:rsid w:val="0092707A"/>
    <w:rsid w:val="009302C5"/>
    <w:rsid w:val="00933908"/>
    <w:rsid w:val="00935410"/>
    <w:rsid w:val="00937E52"/>
    <w:rsid w:val="0094287F"/>
    <w:rsid w:val="0094444E"/>
    <w:rsid w:val="0095483E"/>
    <w:rsid w:val="00956A78"/>
    <w:rsid w:val="00960D6D"/>
    <w:rsid w:val="00971EB7"/>
    <w:rsid w:val="009746A7"/>
    <w:rsid w:val="00976F4E"/>
    <w:rsid w:val="00982A28"/>
    <w:rsid w:val="009872E2"/>
    <w:rsid w:val="009939E6"/>
    <w:rsid w:val="00995DF9"/>
    <w:rsid w:val="00997A5C"/>
    <w:rsid w:val="009A03CD"/>
    <w:rsid w:val="009B3CAC"/>
    <w:rsid w:val="009B47B3"/>
    <w:rsid w:val="009C634C"/>
    <w:rsid w:val="009D01D0"/>
    <w:rsid w:val="009D6A1F"/>
    <w:rsid w:val="009F227B"/>
    <w:rsid w:val="009F3D90"/>
    <w:rsid w:val="00A00D06"/>
    <w:rsid w:val="00A12BB0"/>
    <w:rsid w:val="00A15AB7"/>
    <w:rsid w:val="00A15E96"/>
    <w:rsid w:val="00A231AC"/>
    <w:rsid w:val="00A234ED"/>
    <w:rsid w:val="00A24C05"/>
    <w:rsid w:val="00A26881"/>
    <w:rsid w:val="00A2728C"/>
    <w:rsid w:val="00A27443"/>
    <w:rsid w:val="00A27F3C"/>
    <w:rsid w:val="00A32498"/>
    <w:rsid w:val="00A3494D"/>
    <w:rsid w:val="00A36262"/>
    <w:rsid w:val="00A502DB"/>
    <w:rsid w:val="00A534C5"/>
    <w:rsid w:val="00A64A01"/>
    <w:rsid w:val="00A64F7A"/>
    <w:rsid w:val="00A65B20"/>
    <w:rsid w:val="00A67C31"/>
    <w:rsid w:val="00A81F05"/>
    <w:rsid w:val="00A85BB1"/>
    <w:rsid w:val="00A8761A"/>
    <w:rsid w:val="00A93BB9"/>
    <w:rsid w:val="00AA08CC"/>
    <w:rsid w:val="00AA28B4"/>
    <w:rsid w:val="00AA5DE2"/>
    <w:rsid w:val="00AA6485"/>
    <w:rsid w:val="00AB7021"/>
    <w:rsid w:val="00AD63E7"/>
    <w:rsid w:val="00AE4DFE"/>
    <w:rsid w:val="00AE5C39"/>
    <w:rsid w:val="00B0507A"/>
    <w:rsid w:val="00B13F82"/>
    <w:rsid w:val="00B17C0C"/>
    <w:rsid w:val="00B26C49"/>
    <w:rsid w:val="00B30327"/>
    <w:rsid w:val="00B31236"/>
    <w:rsid w:val="00B323BE"/>
    <w:rsid w:val="00B4267E"/>
    <w:rsid w:val="00B4281D"/>
    <w:rsid w:val="00B53AA7"/>
    <w:rsid w:val="00B6082D"/>
    <w:rsid w:val="00B63C5F"/>
    <w:rsid w:val="00B66DE4"/>
    <w:rsid w:val="00B67C89"/>
    <w:rsid w:val="00B7445A"/>
    <w:rsid w:val="00B84545"/>
    <w:rsid w:val="00B97D92"/>
    <w:rsid w:val="00BA1817"/>
    <w:rsid w:val="00BA5224"/>
    <w:rsid w:val="00BA69E1"/>
    <w:rsid w:val="00BB045E"/>
    <w:rsid w:val="00BC0FFA"/>
    <w:rsid w:val="00BD2DFC"/>
    <w:rsid w:val="00BF1A2E"/>
    <w:rsid w:val="00BF6D17"/>
    <w:rsid w:val="00C04283"/>
    <w:rsid w:val="00C07633"/>
    <w:rsid w:val="00C205DA"/>
    <w:rsid w:val="00C22C1D"/>
    <w:rsid w:val="00C24AA1"/>
    <w:rsid w:val="00C331E4"/>
    <w:rsid w:val="00C4230C"/>
    <w:rsid w:val="00C45F9D"/>
    <w:rsid w:val="00C54178"/>
    <w:rsid w:val="00C604B4"/>
    <w:rsid w:val="00C90788"/>
    <w:rsid w:val="00C908DC"/>
    <w:rsid w:val="00C921FD"/>
    <w:rsid w:val="00C93E84"/>
    <w:rsid w:val="00CA0D96"/>
    <w:rsid w:val="00CA140E"/>
    <w:rsid w:val="00CA7B61"/>
    <w:rsid w:val="00CB5C88"/>
    <w:rsid w:val="00CC0861"/>
    <w:rsid w:val="00CC1D98"/>
    <w:rsid w:val="00CC6EAF"/>
    <w:rsid w:val="00CD2F09"/>
    <w:rsid w:val="00CD542F"/>
    <w:rsid w:val="00CE2170"/>
    <w:rsid w:val="00CF3DB7"/>
    <w:rsid w:val="00CF51B5"/>
    <w:rsid w:val="00D02423"/>
    <w:rsid w:val="00D06C60"/>
    <w:rsid w:val="00D06C76"/>
    <w:rsid w:val="00D3318C"/>
    <w:rsid w:val="00D35ED1"/>
    <w:rsid w:val="00D42E5F"/>
    <w:rsid w:val="00D42FEE"/>
    <w:rsid w:val="00D5566E"/>
    <w:rsid w:val="00D57044"/>
    <w:rsid w:val="00D571ED"/>
    <w:rsid w:val="00D76209"/>
    <w:rsid w:val="00D83977"/>
    <w:rsid w:val="00D84A6C"/>
    <w:rsid w:val="00D92D63"/>
    <w:rsid w:val="00D97829"/>
    <w:rsid w:val="00D97BF9"/>
    <w:rsid w:val="00DA042F"/>
    <w:rsid w:val="00DA18B4"/>
    <w:rsid w:val="00DA2FCB"/>
    <w:rsid w:val="00DA30D4"/>
    <w:rsid w:val="00DA3ED7"/>
    <w:rsid w:val="00DA5CC2"/>
    <w:rsid w:val="00DB6FF1"/>
    <w:rsid w:val="00DC1B11"/>
    <w:rsid w:val="00DC74C2"/>
    <w:rsid w:val="00DC76C2"/>
    <w:rsid w:val="00DE059D"/>
    <w:rsid w:val="00DE2298"/>
    <w:rsid w:val="00DE31FA"/>
    <w:rsid w:val="00DF23AD"/>
    <w:rsid w:val="00E00045"/>
    <w:rsid w:val="00E02474"/>
    <w:rsid w:val="00E03D70"/>
    <w:rsid w:val="00E1405A"/>
    <w:rsid w:val="00E14C97"/>
    <w:rsid w:val="00E2163C"/>
    <w:rsid w:val="00E24E2F"/>
    <w:rsid w:val="00E24F22"/>
    <w:rsid w:val="00E33CCC"/>
    <w:rsid w:val="00E44C6C"/>
    <w:rsid w:val="00E44F31"/>
    <w:rsid w:val="00E505C5"/>
    <w:rsid w:val="00E55DB5"/>
    <w:rsid w:val="00E57288"/>
    <w:rsid w:val="00E627C0"/>
    <w:rsid w:val="00E743AA"/>
    <w:rsid w:val="00E74A30"/>
    <w:rsid w:val="00E82ACC"/>
    <w:rsid w:val="00E8698A"/>
    <w:rsid w:val="00E94B61"/>
    <w:rsid w:val="00EA0CCA"/>
    <w:rsid w:val="00EB43C3"/>
    <w:rsid w:val="00EC22CB"/>
    <w:rsid w:val="00EC4C08"/>
    <w:rsid w:val="00EE019C"/>
    <w:rsid w:val="00F0299E"/>
    <w:rsid w:val="00F12A75"/>
    <w:rsid w:val="00F17A8E"/>
    <w:rsid w:val="00F17F66"/>
    <w:rsid w:val="00F32B33"/>
    <w:rsid w:val="00F35993"/>
    <w:rsid w:val="00F37A7B"/>
    <w:rsid w:val="00F37F8B"/>
    <w:rsid w:val="00F408BE"/>
    <w:rsid w:val="00F424DF"/>
    <w:rsid w:val="00F46E10"/>
    <w:rsid w:val="00F54DCB"/>
    <w:rsid w:val="00F62709"/>
    <w:rsid w:val="00F76FDF"/>
    <w:rsid w:val="00F9108F"/>
    <w:rsid w:val="00FA09E9"/>
    <w:rsid w:val="00FA4558"/>
    <w:rsid w:val="00FA6A86"/>
    <w:rsid w:val="00FA6B0B"/>
    <w:rsid w:val="00FB267D"/>
    <w:rsid w:val="00FB371E"/>
    <w:rsid w:val="00FD21EF"/>
    <w:rsid w:val="00FD2C36"/>
    <w:rsid w:val="00FD6531"/>
    <w:rsid w:val="00FE0105"/>
    <w:rsid w:val="00FE2AB4"/>
    <w:rsid w:val="00FE564A"/>
    <w:rsid w:val="00FF094E"/>
    <w:rsid w:val="00FF2051"/>
    <w:rsid w:val="00FF52AF"/>
    <w:rsid w:val="00FF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7825"/>
    <o:shapelayout v:ext="edit">
      <o:idmap v:ext="edit" data="1"/>
    </o:shapelayout>
  </w:shapeDefaults>
  <w:decimalSymbol w:val=","/>
  <w:listSeparator w:val=";"/>
  <w14:docId w14:val="317F3694"/>
  <w15:chartTrackingRefBased/>
  <w15:docId w15:val="{645952DE-6AD8-41E5-9B2B-6B641F06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49"/>
    <w:pPr>
      <w:spacing w:before="120" w:after="120" w:line="240" w:lineRule="auto"/>
      <w:jc w:val="both"/>
    </w:pPr>
    <w:rPr>
      <w:rFonts w:ascii="Times New Roman" w:eastAsia="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6C49"/>
    <w:rPr>
      <w:color w:val="000000"/>
    </w:rPr>
  </w:style>
  <w:style w:type="paragraph" w:styleId="Topptekst">
    <w:name w:val="header"/>
    <w:basedOn w:val="Normal"/>
    <w:link w:val="TopptekstTegn"/>
    <w:unhideWhenUsed/>
    <w:rsid w:val="00933908"/>
    <w:pPr>
      <w:tabs>
        <w:tab w:val="center" w:pos="4513"/>
        <w:tab w:val="right" w:pos="9026"/>
      </w:tabs>
      <w:spacing w:before="0" w:after="0"/>
    </w:pPr>
  </w:style>
  <w:style w:type="character" w:customStyle="1" w:styleId="TopptekstTegn">
    <w:name w:val="Topptekst Tegn"/>
    <w:basedOn w:val="Standardskriftforavsnitt"/>
    <w:link w:val="Topptekst"/>
    <w:rsid w:val="00933908"/>
    <w:rPr>
      <w:rFonts w:ascii="Times New Roman" w:eastAsia="Times New Roman" w:hAnsi="Times New Roman" w:cs="Times New Roman"/>
      <w:sz w:val="24"/>
      <w:szCs w:val="24"/>
    </w:rPr>
  </w:style>
  <w:style w:type="paragraph" w:styleId="Bunntekst">
    <w:name w:val="footer"/>
    <w:basedOn w:val="Normal"/>
    <w:link w:val="BunntekstTegn"/>
    <w:uiPriority w:val="99"/>
    <w:unhideWhenUsed/>
    <w:rsid w:val="00933908"/>
    <w:pPr>
      <w:tabs>
        <w:tab w:val="center" w:pos="4513"/>
        <w:tab w:val="right" w:pos="9026"/>
      </w:tabs>
      <w:spacing w:before="0" w:after="0"/>
    </w:pPr>
  </w:style>
  <w:style w:type="character" w:customStyle="1" w:styleId="BunntekstTegn">
    <w:name w:val="Bunntekst Tegn"/>
    <w:basedOn w:val="Standardskriftforavsnitt"/>
    <w:link w:val="Bunntekst"/>
    <w:uiPriority w:val="99"/>
    <w:rsid w:val="00933908"/>
    <w:rPr>
      <w:rFonts w:ascii="Times New Roman" w:eastAsia="Times New Roman" w:hAnsi="Times New Roman" w:cs="Times New Roman"/>
      <w:sz w:val="24"/>
      <w:szCs w:val="24"/>
    </w:rPr>
  </w:style>
  <w:style w:type="paragraph" w:customStyle="1" w:styleId="Default">
    <w:name w:val="Default"/>
    <w:link w:val="DefaultChar"/>
    <w:rsid w:val="00933908"/>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DefaultChar">
    <w:name w:val="Default Char"/>
    <w:link w:val="Default"/>
    <w:rsid w:val="00933908"/>
    <w:rPr>
      <w:rFonts w:ascii="Calibri" w:eastAsia="Calibri" w:hAnsi="Calibri" w:cs="Times New Roman"/>
      <w:color w:val="000000"/>
      <w:sz w:val="24"/>
      <w:szCs w:val="24"/>
    </w:rPr>
  </w:style>
  <w:style w:type="table" w:styleId="Tabellrutenett">
    <w:name w:val="Table Grid"/>
    <w:basedOn w:val="Vanligtabell"/>
    <w:uiPriority w:val="59"/>
    <w:rsid w:val="00706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484A48"/>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84A48"/>
    <w:rPr>
      <w:rFonts w:ascii="Segoe UI" w:eastAsia="Times New Roman" w:hAnsi="Segoe UI" w:cs="Segoe UI"/>
      <w:sz w:val="18"/>
      <w:szCs w:val="18"/>
    </w:rPr>
  </w:style>
  <w:style w:type="character" w:styleId="Merknadsreferanse">
    <w:name w:val="annotation reference"/>
    <w:basedOn w:val="Standardskriftforavsnitt"/>
    <w:uiPriority w:val="99"/>
    <w:semiHidden/>
    <w:unhideWhenUsed/>
    <w:rsid w:val="00E2163C"/>
    <w:rPr>
      <w:sz w:val="16"/>
      <w:szCs w:val="16"/>
    </w:rPr>
  </w:style>
  <w:style w:type="paragraph" w:styleId="Merknadstekst">
    <w:name w:val="annotation text"/>
    <w:basedOn w:val="Normal"/>
    <w:link w:val="MerknadstekstTegn"/>
    <w:uiPriority w:val="99"/>
    <w:semiHidden/>
    <w:unhideWhenUsed/>
    <w:rsid w:val="00E2163C"/>
    <w:rPr>
      <w:sz w:val="20"/>
      <w:szCs w:val="20"/>
    </w:rPr>
  </w:style>
  <w:style w:type="character" w:customStyle="1" w:styleId="MerknadstekstTegn">
    <w:name w:val="Merknadstekst Tegn"/>
    <w:basedOn w:val="Standardskriftforavsnitt"/>
    <w:link w:val="Merknadstekst"/>
    <w:uiPriority w:val="99"/>
    <w:semiHidden/>
    <w:rsid w:val="00E2163C"/>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E2163C"/>
    <w:rPr>
      <w:b/>
      <w:bCs/>
    </w:rPr>
  </w:style>
  <w:style w:type="character" w:customStyle="1" w:styleId="KommentaremneTegn">
    <w:name w:val="Kommentaremne Tegn"/>
    <w:basedOn w:val="MerknadstekstTegn"/>
    <w:link w:val="Kommentaremne"/>
    <w:uiPriority w:val="99"/>
    <w:semiHidden/>
    <w:rsid w:val="00E2163C"/>
    <w:rPr>
      <w:rFonts w:ascii="Times New Roman" w:eastAsia="Times New Roman" w:hAnsi="Times New Roman" w:cs="Times New Roman"/>
      <w:b/>
      <w:bCs/>
      <w:sz w:val="20"/>
      <w:szCs w:val="20"/>
    </w:rPr>
  </w:style>
  <w:style w:type="paragraph" w:styleId="Brdtekstinnrykk2">
    <w:name w:val="Body Text Indent 2"/>
    <w:basedOn w:val="Normal"/>
    <w:link w:val="Brdtekstinnrykk2Tegn"/>
    <w:rsid w:val="0036192E"/>
    <w:pPr>
      <w:spacing w:before="0" w:after="0"/>
      <w:ind w:left="709"/>
    </w:pPr>
    <w:rPr>
      <w:rFonts w:ascii="Arial" w:hAnsi="Arial" w:cs="Arial"/>
      <w:sz w:val="20"/>
    </w:rPr>
  </w:style>
  <w:style w:type="character" w:customStyle="1" w:styleId="Brdtekstinnrykk2Tegn">
    <w:name w:val="Brødtekstinnrykk 2 Tegn"/>
    <w:basedOn w:val="Standardskriftforavsnitt"/>
    <w:link w:val="Brdtekstinnrykk2"/>
    <w:rsid w:val="0036192E"/>
    <w:rPr>
      <w:rFonts w:ascii="Arial" w:eastAsia="Times New Roman" w:hAnsi="Arial" w:cs="Arial"/>
      <w:sz w:val="20"/>
      <w:szCs w:val="24"/>
    </w:rPr>
  </w:style>
  <w:style w:type="paragraph" w:styleId="Fotnotetekst">
    <w:name w:val="footnote text"/>
    <w:basedOn w:val="Normal"/>
    <w:link w:val="FotnotetekstTegn1"/>
    <w:semiHidden/>
    <w:rsid w:val="0036192E"/>
    <w:pPr>
      <w:spacing w:before="0" w:after="0"/>
      <w:jc w:val="left"/>
    </w:pPr>
    <w:rPr>
      <w:sz w:val="20"/>
      <w:szCs w:val="20"/>
    </w:rPr>
  </w:style>
  <w:style w:type="character" w:customStyle="1" w:styleId="FotnotetekstTegn">
    <w:name w:val="Fotnotetekst Tegn"/>
    <w:basedOn w:val="Standardskriftforavsnitt"/>
    <w:uiPriority w:val="99"/>
    <w:semiHidden/>
    <w:rsid w:val="0036192E"/>
    <w:rPr>
      <w:rFonts w:ascii="Times New Roman" w:eastAsia="Times New Roman" w:hAnsi="Times New Roman" w:cs="Times New Roman"/>
      <w:sz w:val="20"/>
      <w:szCs w:val="20"/>
    </w:rPr>
  </w:style>
  <w:style w:type="character" w:customStyle="1" w:styleId="FotnotetekstTegn1">
    <w:name w:val="Fotnotetekst Tegn1"/>
    <w:link w:val="Fotnotetekst"/>
    <w:semiHidden/>
    <w:rsid w:val="0036192E"/>
    <w:rPr>
      <w:rFonts w:ascii="Times New Roman" w:eastAsia="Times New Roman" w:hAnsi="Times New Roman" w:cs="Times New Roman"/>
      <w:sz w:val="20"/>
      <w:szCs w:val="20"/>
    </w:rPr>
  </w:style>
  <w:style w:type="paragraph" w:styleId="Revisjon">
    <w:name w:val="Revision"/>
    <w:hidden/>
    <w:uiPriority w:val="99"/>
    <w:semiHidden/>
    <w:rsid w:val="00971EB7"/>
    <w:pPr>
      <w:spacing w:after="0" w:line="240" w:lineRule="auto"/>
    </w:pPr>
    <w:rPr>
      <w:rFonts w:ascii="Times New Roman" w:eastAsia="Times New Roman" w:hAnsi="Times New Roman" w:cs="Times New Roman"/>
      <w:sz w:val="24"/>
      <w:szCs w:val="24"/>
    </w:rPr>
  </w:style>
  <w:style w:type="paragraph" w:customStyle="1" w:styleId="xdefault">
    <w:name w:val="x_default"/>
    <w:basedOn w:val="Normal"/>
    <w:rsid w:val="000E6EC3"/>
    <w:pPr>
      <w:autoSpaceDE w:val="0"/>
      <w:autoSpaceDN w:val="0"/>
      <w:spacing w:before="0" w:after="0"/>
      <w:jc w:val="left"/>
    </w:pPr>
    <w:rPr>
      <w:rFonts w:ascii="Calibri" w:eastAsiaTheme="minorHAnsi" w:hAnsi="Calibri" w:cs="Calibri"/>
      <w:color w:val="000000"/>
      <w:lang w:val="nb-NO" w:eastAsia="nb-NO"/>
    </w:rPr>
  </w:style>
  <w:style w:type="character" w:styleId="Hyperkobling">
    <w:name w:val="Hyperlink"/>
    <w:basedOn w:val="Standardskriftforavsnitt"/>
    <w:uiPriority w:val="99"/>
    <w:unhideWhenUsed/>
    <w:rsid w:val="00382362"/>
    <w:rPr>
      <w:color w:val="0000FF" w:themeColor="hyperlink"/>
      <w:u w:val="single"/>
    </w:rPr>
  </w:style>
  <w:style w:type="character" w:styleId="Ulstomtale">
    <w:name w:val="Unresolved Mention"/>
    <w:basedOn w:val="Standardskriftforavsnitt"/>
    <w:uiPriority w:val="99"/>
    <w:semiHidden/>
    <w:unhideWhenUsed/>
    <w:rsid w:val="00382362"/>
    <w:rPr>
      <w:color w:val="605E5C"/>
      <w:shd w:val="clear" w:color="auto" w:fill="E1DFDD"/>
    </w:rPr>
  </w:style>
  <w:style w:type="character" w:styleId="Fulgthyperkobling">
    <w:name w:val="FollowedHyperlink"/>
    <w:basedOn w:val="Standardskriftforavsnitt"/>
    <w:uiPriority w:val="99"/>
    <w:semiHidden/>
    <w:unhideWhenUsed/>
    <w:rsid w:val="002840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78011">
      <w:bodyDiv w:val="1"/>
      <w:marLeft w:val="0"/>
      <w:marRight w:val="0"/>
      <w:marTop w:val="0"/>
      <w:marBottom w:val="0"/>
      <w:divBdr>
        <w:top w:val="none" w:sz="0" w:space="0" w:color="auto"/>
        <w:left w:val="none" w:sz="0" w:space="0" w:color="auto"/>
        <w:bottom w:val="none" w:sz="0" w:space="0" w:color="auto"/>
        <w:right w:val="none" w:sz="0" w:space="0" w:color="auto"/>
      </w:divBdr>
    </w:div>
    <w:div w:id="236866353">
      <w:bodyDiv w:val="1"/>
      <w:marLeft w:val="0"/>
      <w:marRight w:val="0"/>
      <w:marTop w:val="0"/>
      <w:marBottom w:val="0"/>
      <w:divBdr>
        <w:top w:val="none" w:sz="0" w:space="0" w:color="auto"/>
        <w:left w:val="none" w:sz="0" w:space="0" w:color="auto"/>
        <w:bottom w:val="none" w:sz="0" w:space="0" w:color="auto"/>
        <w:right w:val="none" w:sz="0" w:space="0" w:color="auto"/>
      </w:divBdr>
    </w:div>
    <w:div w:id="351615551">
      <w:bodyDiv w:val="1"/>
      <w:marLeft w:val="0"/>
      <w:marRight w:val="0"/>
      <w:marTop w:val="0"/>
      <w:marBottom w:val="0"/>
      <w:divBdr>
        <w:top w:val="none" w:sz="0" w:space="0" w:color="auto"/>
        <w:left w:val="none" w:sz="0" w:space="0" w:color="auto"/>
        <w:bottom w:val="none" w:sz="0" w:space="0" w:color="auto"/>
        <w:right w:val="none" w:sz="0" w:space="0" w:color="auto"/>
      </w:divBdr>
    </w:div>
    <w:div w:id="413088763">
      <w:bodyDiv w:val="1"/>
      <w:marLeft w:val="0"/>
      <w:marRight w:val="0"/>
      <w:marTop w:val="0"/>
      <w:marBottom w:val="0"/>
      <w:divBdr>
        <w:top w:val="none" w:sz="0" w:space="0" w:color="auto"/>
        <w:left w:val="none" w:sz="0" w:space="0" w:color="auto"/>
        <w:bottom w:val="none" w:sz="0" w:space="0" w:color="auto"/>
        <w:right w:val="none" w:sz="0" w:space="0" w:color="auto"/>
      </w:divBdr>
    </w:div>
    <w:div w:id="494346244">
      <w:bodyDiv w:val="1"/>
      <w:marLeft w:val="0"/>
      <w:marRight w:val="0"/>
      <w:marTop w:val="0"/>
      <w:marBottom w:val="0"/>
      <w:divBdr>
        <w:top w:val="none" w:sz="0" w:space="0" w:color="auto"/>
        <w:left w:val="none" w:sz="0" w:space="0" w:color="auto"/>
        <w:bottom w:val="none" w:sz="0" w:space="0" w:color="auto"/>
        <w:right w:val="none" w:sz="0" w:space="0" w:color="auto"/>
      </w:divBdr>
    </w:div>
    <w:div w:id="987704404">
      <w:bodyDiv w:val="1"/>
      <w:marLeft w:val="0"/>
      <w:marRight w:val="0"/>
      <w:marTop w:val="0"/>
      <w:marBottom w:val="0"/>
      <w:divBdr>
        <w:top w:val="none" w:sz="0" w:space="0" w:color="auto"/>
        <w:left w:val="none" w:sz="0" w:space="0" w:color="auto"/>
        <w:bottom w:val="none" w:sz="0" w:space="0" w:color="auto"/>
        <w:right w:val="none" w:sz="0" w:space="0" w:color="auto"/>
      </w:divBdr>
    </w:div>
    <w:div w:id="1124890807">
      <w:bodyDiv w:val="1"/>
      <w:marLeft w:val="0"/>
      <w:marRight w:val="0"/>
      <w:marTop w:val="0"/>
      <w:marBottom w:val="0"/>
      <w:divBdr>
        <w:top w:val="none" w:sz="0" w:space="0" w:color="auto"/>
        <w:left w:val="none" w:sz="0" w:space="0" w:color="auto"/>
        <w:bottom w:val="none" w:sz="0" w:space="0" w:color="auto"/>
        <w:right w:val="none" w:sz="0" w:space="0" w:color="auto"/>
      </w:divBdr>
    </w:div>
    <w:div w:id="1171750336">
      <w:bodyDiv w:val="1"/>
      <w:marLeft w:val="0"/>
      <w:marRight w:val="0"/>
      <w:marTop w:val="0"/>
      <w:marBottom w:val="0"/>
      <w:divBdr>
        <w:top w:val="none" w:sz="0" w:space="0" w:color="auto"/>
        <w:left w:val="none" w:sz="0" w:space="0" w:color="auto"/>
        <w:bottom w:val="none" w:sz="0" w:space="0" w:color="auto"/>
        <w:right w:val="none" w:sz="0" w:space="0" w:color="auto"/>
      </w:divBdr>
    </w:div>
    <w:div w:id="1287347137">
      <w:bodyDiv w:val="1"/>
      <w:marLeft w:val="0"/>
      <w:marRight w:val="0"/>
      <w:marTop w:val="0"/>
      <w:marBottom w:val="0"/>
      <w:divBdr>
        <w:top w:val="none" w:sz="0" w:space="0" w:color="auto"/>
        <w:left w:val="none" w:sz="0" w:space="0" w:color="auto"/>
        <w:bottom w:val="none" w:sz="0" w:space="0" w:color="auto"/>
        <w:right w:val="none" w:sz="0" w:space="0" w:color="auto"/>
      </w:divBdr>
    </w:div>
    <w:div w:id="1297368667">
      <w:bodyDiv w:val="1"/>
      <w:marLeft w:val="0"/>
      <w:marRight w:val="0"/>
      <w:marTop w:val="0"/>
      <w:marBottom w:val="0"/>
      <w:divBdr>
        <w:top w:val="none" w:sz="0" w:space="0" w:color="auto"/>
        <w:left w:val="none" w:sz="0" w:space="0" w:color="auto"/>
        <w:bottom w:val="none" w:sz="0" w:space="0" w:color="auto"/>
        <w:right w:val="none" w:sz="0" w:space="0" w:color="auto"/>
      </w:divBdr>
    </w:div>
    <w:div w:id="1300846697">
      <w:bodyDiv w:val="1"/>
      <w:marLeft w:val="0"/>
      <w:marRight w:val="0"/>
      <w:marTop w:val="0"/>
      <w:marBottom w:val="0"/>
      <w:divBdr>
        <w:top w:val="none" w:sz="0" w:space="0" w:color="auto"/>
        <w:left w:val="none" w:sz="0" w:space="0" w:color="auto"/>
        <w:bottom w:val="none" w:sz="0" w:space="0" w:color="auto"/>
        <w:right w:val="none" w:sz="0" w:space="0" w:color="auto"/>
      </w:divBdr>
    </w:div>
    <w:div w:id="1415738718">
      <w:bodyDiv w:val="1"/>
      <w:marLeft w:val="0"/>
      <w:marRight w:val="0"/>
      <w:marTop w:val="0"/>
      <w:marBottom w:val="0"/>
      <w:divBdr>
        <w:top w:val="none" w:sz="0" w:space="0" w:color="auto"/>
        <w:left w:val="none" w:sz="0" w:space="0" w:color="auto"/>
        <w:bottom w:val="none" w:sz="0" w:space="0" w:color="auto"/>
        <w:right w:val="none" w:sz="0" w:space="0" w:color="auto"/>
      </w:divBdr>
    </w:div>
    <w:div w:id="1604801486">
      <w:bodyDiv w:val="1"/>
      <w:marLeft w:val="0"/>
      <w:marRight w:val="0"/>
      <w:marTop w:val="0"/>
      <w:marBottom w:val="0"/>
      <w:divBdr>
        <w:top w:val="none" w:sz="0" w:space="0" w:color="auto"/>
        <w:left w:val="none" w:sz="0" w:space="0" w:color="auto"/>
        <w:bottom w:val="none" w:sz="0" w:space="0" w:color="auto"/>
        <w:right w:val="none" w:sz="0" w:space="0" w:color="auto"/>
      </w:divBdr>
    </w:div>
    <w:div w:id="20103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0.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E3C1DF-9400-4AC1-BABE-0FBF94A6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5130</Words>
  <Characters>27195</Characters>
  <Application>Microsoft Office Word</Application>
  <DocSecurity>0</DocSecurity>
  <Lines>226</Lines>
  <Paragraphs>64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CAPART Cecile (MOVE)</dc:creator>
  <cp:keywords/>
  <dc:description/>
  <cp:lastModifiedBy>Nicolaisen, Olaf Andreas</cp:lastModifiedBy>
  <cp:revision>22</cp:revision>
  <cp:lastPrinted>2021-06-02T05:41:00Z</cp:lastPrinted>
  <dcterms:created xsi:type="dcterms:W3CDTF">2021-10-26T13:22:00Z</dcterms:created>
  <dcterms:modified xsi:type="dcterms:W3CDTF">2021-11-15T08:19:00Z</dcterms:modified>
</cp:coreProperties>
</file>