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CFDBA" w14:textId="77777777" w:rsidR="00933908" w:rsidRDefault="00933908" w:rsidP="00B26C49">
      <w:pPr>
        <w:jc w:val="center"/>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19629EC4" w14:textId="77777777" w:rsidTr="002D6CCF">
        <w:trPr>
          <w:trHeight w:val="396"/>
          <w:jc w:val="center"/>
        </w:trPr>
        <w:tc>
          <w:tcPr>
            <w:tcW w:w="9242" w:type="dxa"/>
            <w:shd w:val="clear" w:color="auto" w:fill="C6D9F1"/>
            <w:vAlign w:val="center"/>
          </w:tcPr>
          <w:p w14:paraId="7AAEA7A7" w14:textId="77777777" w:rsidR="00933908" w:rsidRPr="00EC40E2" w:rsidRDefault="00933908" w:rsidP="00933908">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TABLES </w:t>
            </w:r>
            <w:r w:rsidRPr="00EC40E2">
              <w:rPr>
                <w:rFonts w:ascii="Arial" w:hAnsi="Arial" w:cs="Arial"/>
                <w:b/>
                <w:color w:val="17365D"/>
                <w:sz w:val="20"/>
                <w:szCs w:val="20"/>
              </w:rPr>
              <w:t xml:space="preserve">1 – </w:t>
            </w:r>
            <w:r>
              <w:rPr>
                <w:rFonts w:ascii="Arial" w:hAnsi="Arial" w:cs="Arial"/>
                <w:b/>
                <w:color w:val="17365D"/>
                <w:sz w:val="20"/>
                <w:szCs w:val="20"/>
              </w:rPr>
              <w:t>TOTAL COSTS AND UNIT COSTS</w:t>
            </w:r>
          </w:p>
        </w:tc>
      </w:tr>
    </w:tbl>
    <w:p w14:paraId="77718AA9" w14:textId="77777777" w:rsidR="00933908" w:rsidRDefault="00933908" w:rsidP="00933908">
      <w:pPr>
        <w:pStyle w:val="Default"/>
        <w:jc w:val="both"/>
        <w:rPr>
          <w:rFonts w:ascii="Arial" w:hAnsi="Arial" w:cs="Arial"/>
          <w:color w:val="17365D"/>
          <w:sz w:val="20"/>
          <w:szCs w:val="20"/>
        </w:rPr>
      </w:pPr>
    </w:p>
    <w:p w14:paraId="59E15DD8" w14:textId="77777777" w:rsidR="00B17C0C" w:rsidRDefault="00B17C0C" w:rsidP="00933908">
      <w:pPr>
        <w:pStyle w:val="Default"/>
        <w:jc w:val="both"/>
        <w:rPr>
          <w:rFonts w:ascii="Arial" w:hAnsi="Arial" w:cs="Arial"/>
          <w:color w:val="17365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08A77768" w14:textId="77777777" w:rsidTr="002D6CCF">
        <w:trPr>
          <w:trHeight w:val="396"/>
          <w:jc w:val="center"/>
        </w:trPr>
        <w:tc>
          <w:tcPr>
            <w:tcW w:w="9242" w:type="dxa"/>
            <w:shd w:val="clear" w:color="auto" w:fill="C6D9F1"/>
            <w:vAlign w:val="center"/>
          </w:tcPr>
          <w:p w14:paraId="35DA0967" w14:textId="77777777" w:rsidR="00933908" w:rsidRPr="00EC40E2" w:rsidRDefault="00933908"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Determined costs and unit costs</w:t>
            </w:r>
          </w:p>
        </w:tc>
      </w:tr>
    </w:tbl>
    <w:p w14:paraId="1B9C9318" w14:textId="77777777" w:rsidR="00933908" w:rsidRDefault="00933908" w:rsidP="0093390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CA5B88" w14:paraId="5311050B" w14:textId="77777777" w:rsidTr="002D6CCF">
        <w:tc>
          <w:tcPr>
            <w:tcW w:w="9242" w:type="dxa"/>
            <w:shd w:val="clear" w:color="auto" w:fill="C6D9F1"/>
          </w:tcPr>
          <w:p w14:paraId="60C3D00A" w14:textId="77777777" w:rsidR="00933908" w:rsidRPr="00CA5B88" w:rsidRDefault="00933908" w:rsidP="00352E4E">
            <w:pPr>
              <w:pStyle w:val="Default"/>
              <w:spacing w:before="60" w:after="60"/>
              <w:jc w:val="both"/>
              <w:rPr>
                <w:rFonts w:ascii="Arial" w:hAnsi="Arial" w:cs="Arial"/>
                <w:b/>
                <w:color w:val="17365D"/>
                <w:sz w:val="20"/>
                <w:szCs w:val="20"/>
              </w:rPr>
            </w:pPr>
            <w:r w:rsidRPr="00CA5B88">
              <w:rPr>
                <w:rFonts w:ascii="Arial" w:hAnsi="Arial" w:cs="Arial"/>
                <w:b/>
                <w:color w:val="17365D"/>
                <w:sz w:val="20"/>
                <w:szCs w:val="20"/>
              </w:rPr>
              <w:t xml:space="preserve">a) </w:t>
            </w:r>
            <w:r w:rsidR="00352E4E">
              <w:rPr>
                <w:rFonts w:ascii="Arial" w:hAnsi="Arial" w:cs="Arial"/>
                <w:b/>
                <w:color w:val="17365D"/>
                <w:sz w:val="20"/>
                <w:szCs w:val="20"/>
              </w:rPr>
              <w:t>D</w:t>
            </w:r>
            <w:r w:rsidR="00556F7D" w:rsidRPr="00556F7D">
              <w:rPr>
                <w:rFonts w:ascii="Arial" w:hAnsi="Arial" w:cs="Arial"/>
                <w:b/>
                <w:color w:val="17365D"/>
                <w:sz w:val="20"/>
                <w:szCs w:val="20"/>
              </w:rPr>
              <w:t>escription of the methodology used for allocating costs of facilities or services between different air navigation services, based on the list of facilities and services listed in ICAO Regional Air Navigation Plan, European Region (Doc 7754) as last amended, and a description of the methodology used for allocating those costs between different charging zones;</w:t>
            </w:r>
          </w:p>
        </w:tc>
      </w:tr>
    </w:tbl>
    <w:p w14:paraId="4EFB6909" w14:textId="77777777" w:rsidR="00352E4E" w:rsidRDefault="00352E4E" w:rsidP="00E57288">
      <w:pPr>
        <w:pStyle w:val="Default"/>
        <w:jc w:val="both"/>
        <w:rPr>
          <w:rFonts w:ascii="Arial" w:hAnsi="Arial" w:cs="Arial"/>
          <w:color w:val="17365D"/>
          <w:sz w:val="20"/>
          <w:szCs w:val="20"/>
        </w:rPr>
      </w:pPr>
    </w:p>
    <w:p w14:paraId="3C74D9B0" w14:textId="258C46BE" w:rsidR="00B9204B" w:rsidRPr="006524A2" w:rsidRDefault="00B9204B" w:rsidP="00B9204B">
      <w:pPr>
        <w:pStyle w:val="Fotnotetekst"/>
        <w:jc w:val="both"/>
        <w:rPr>
          <w:rFonts w:ascii="Arial" w:hAnsi="Arial" w:cs="Arial"/>
        </w:rPr>
      </w:pPr>
      <w:r w:rsidRPr="006524A2">
        <w:rPr>
          <w:rFonts w:ascii="Arial" w:hAnsi="Arial" w:cs="Arial"/>
        </w:rPr>
        <w:t xml:space="preserve">Norway has one terminal navigation charging zone which comprises </w:t>
      </w:r>
      <w:r>
        <w:rPr>
          <w:rFonts w:ascii="Arial" w:hAnsi="Arial" w:cs="Arial"/>
        </w:rPr>
        <w:t>four</w:t>
      </w:r>
      <w:r w:rsidRPr="006524A2">
        <w:rPr>
          <w:rFonts w:ascii="Arial" w:hAnsi="Arial" w:cs="Arial"/>
        </w:rPr>
        <w:t xml:space="preserve"> Norwegian airports with more than 50.000 movements per year. These are Oslo, Bergen, </w:t>
      </w:r>
      <w:proofErr w:type="gramStart"/>
      <w:r w:rsidRPr="006524A2">
        <w:rPr>
          <w:rFonts w:ascii="Arial" w:hAnsi="Arial" w:cs="Arial"/>
        </w:rPr>
        <w:t>Trondheim</w:t>
      </w:r>
      <w:proofErr w:type="gramEnd"/>
      <w:r w:rsidRPr="006524A2">
        <w:rPr>
          <w:rFonts w:ascii="Arial" w:hAnsi="Arial" w:cs="Arial"/>
        </w:rPr>
        <w:t xml:space="preserve"> and Stavanger. All </w:t>
      </w:r>
      <w:r>
        <w:rPr>
          <w:rFonts w:ascii="Arial" w:hAnsi="Arial" w:cs="Arial"/>
        </w:rPr>
        <w:t xml:space="preserve">these </w:t>
      </w:r>
      <w:r w:rsidRPr="006524A2">
        <w:rPr>
          <w:rFonts w:ascii="Arial" w:hAnsi="Arial" w:cs="Arial"/>
        </w:rPr>
        <w:t xml:space="preserve">airports are operated by </w:t>
      </w:r>
      <w:proofErr w:type="spellStart"/>
      <w:r w:rsidRPr="006524A2">
        <w:rPr>
          <w:rFonts w:ascii="Arial" w:hAnsi="Arial" w:cs="Arial"/>
        </w:rPr>
        <w:t>Avinor</w:t>
      </w:r>
      <w:proofErr w:type="spellEnd"/>
      <w:r>
        <w:rPr>
          <w:rFonts w:ascii="Arial" w:hAnsi="Arial" w:cs="Arial"/>
        </w:rPr>
        <w:t xml:space="preserve"> </w:t>
      </w:r>
      <w:proofErr w:type="spellStart"/>
      <w:proofErr w:type="gramStart"/>
      <w:r>
        <w:rPr>
          <w:rFonts w:ascii="Arial" w:hAnsi="Arial" w:cs="Arial"/>
        </w:rPr>
        <w:t>AS</w:t>
      </w:r>
      <w:r w:rsidR="009D005F">
        <w:rPr>
          <w:rFonts w:ascii="Arial" w:hAnsi="Arial" w:cs="Arial"/>
        </w:rPr>
        <w:t>.Air</w:t>
      </w:r>
      <w:proofErr w:type="spellEnd"/>
      <w:proofErr w:type="gramEnd"/>
      <w:r w:rsidR="009D005F">
        <w:rPr>
          <w:rFonts w:ascii="Arial" w:hAnsi="Arial" w:cs="Arial"/>
        </w:rPr>
        <w:t xml:space="preserve"> navigation services are</w:t>
      </w:r>
      <w:r w:rsidR="00323FEB">
        <w:rPr>
          <w:rFonts w:ascii="Arial" w:hAnsi="Arial" w:cs="Arial"/>
        </w:rPr>
        <w:t xml:space="preserve"> provided by </w:t>
      </w:r>
      <w:proofErr w:type="spellStart"/>
      <w:r w:rsidR="00323FEB">
        <w:rPr>
          <w:rFonts w:ascii="Arial" w:hAnsi="Arial" w:cs="Arial"/>
        </w:rPr>
        <w:t>Avinor</w:t>
      </w:r>
      <w:proofErr w:type="spellEnd"/>
      <w:r w:rsidR="00323FEB">
        <w:rPr>
          <w:rFonts w:ascii="Arial" w:hAnsi="Arial" w:cs="Arial"/>
        </w:rPr>
        <w:t xml:space="preserve"> ANS. </w:t>
      </w:r>
    </w:p>
    <w:p w14:paraId="37EB8709" w14:textId="77777777" w:rsidR="00C93618" w:rsidRDefault="00C93618" w:rsidP="00B9204B">
      <w:pPr>
        <w:pStyle w:val="Brdtekstinnrykk2"/>
        <w:ind w:left="0"/>
        <w:rPr>
          <w:szCs w:val="20"/>
        </w:rPr>
      </w:pPr>
    </w:p>
    <w:p w14:paraId="69D00FF9" w14:textId="75B18FEE" w:rsidR="00B9204B" w:rsidRDefault="00684AAF" w:rsidP="00B9204B">
      <w:pPr>
        <w:pStyle w:val="Brdtekstinnrykk2"/>
        <w:ind w:left="0"/>
        <w:rPr>
          <w:szCs w:val="20"/>
        </w:rPr>
      </w:pPr>
      <w:r>
        <w:rPr>
          <w:szCs w:val="20"/>
        </w:rPr>
        <w:t>The o</w:t>
      </w:r>
      <w:r w:rsidR="00B9204B" w:rsidRPr="006524A2">
        <w:rPr>
          <w:szCs w:val="20"/>
        </w:rPr>
        <w:t>perating cost is related to the cost of terminal navigation</w:t>
      </w:r>
      <w:r>
        <w:rPr>
          <w:szCs w:val="20"/>
        </w:rPr>
        <w:t xml:space="preserve"> services (TNC</w:t>
      </w:r>
      <w:r w:rsidR="00FA6219">
        <w:rPr>
          <w:szCs w:val="20"/>
        </w:rPr>
        <w:t>)</w:t>
      </w:r>
      <w:r w:rsidR="00B9204B" w:rsidRPr="006524A2">
        <w:rPr>
          <w:szCs w:val="20"/>
        </w:rPr>
        <w:t xml:space="preserve">. In addition, </w:t>
      </w:r>
      <w:r w:rsidR="00FA6219">
        <w:rPr>
          <w:szCs w:val="20"/>
        </w:rPr>
        <w:t>20 %</w:t>
      </w:r>
      <w:r w:rsidR="00B9204B" w:rsidRPr="006524A2">
        <w:rPr>
          <w:szCs w:val="20"/>
        </w:rPr>
        <w:t xml:space="preserve"> of the operating cost for provision of approach control services at the 4 largest airports is included in the TNC cost base. </w:t>
      </w:r>
      <w:r w:rsidR="00FA6219">
        <w:rPr>
          <w:szCs w:val="20"/>
        </w:rPr>
        <w:t>T</w:t>
      </w:r>
      <w:r w:rsidR="00B9204B">
        <w:rPr>
          <w:szCs w:val="20"/>
        </w:rPr>
        <w:t xml:space="preserve">he remaining 80 % </w:t>
      </w:r>
      <w:r w:rsidR="00FA6219" w:rsidRPr="00FA6219">
        <w:rPr>
          <w:szCs w:val="20"/>
        </w:rPr>
        <w:t>of the operating cost for provision of approach control services</w:t>
      </w:r>
      <w:r w:rsidR="00FA6219">
        <w:rPr>
          <w:szCs w:val="20"/>
        </w:rPr>
        <w:t>,</w:t>
      </w:r>
      <w:r w:rsidR="00FA6219" w:rsidRPr="00FA6219">
        <w:rPr>
          <w:szCs w:val="20"/>
        </w:rPr>
        <w:t xml:space="preserve"> </w:t>
      </w:r>
      <w:r w:rsidR="00B9204B">
        <w:rPr>
          <w:szCs w:val="20"/>
        </w:rPr>
        <w:t xml:space="preserve">are allocated to the </w:t>
      </w:r>
      <w:proofErr w:type="spellStart"/>
      <w:r w:rsidR="00B9204B">
        <w:rPr>
          <w:szCs w:val="20"/>
        </w:rPr>
        <w:t>en</w:t>
      </w:r>
      <w:proofErr w:type="spellEnd"/>
      <w:r w:rsidR="00B9204B">
        <w:rPr>
          <w:szCs w:val="20"/>
        </w:rPr>
        <w:t>-route cost base</w:t>
      </w:r>
      <w:r w:rsidR="00B9204B" w:rsidRPr="006524A2">
        <w:rPr>
          <w:szCs w:val="20"/>
        </w:rPr>
        <w:t xml:space="preserve">. </w:t>
      </w:r>
    </w:p>
    <w:p w14:paraId="6E01B7E5" w14:textId="77777777" w:rsidR="00B9204B" w:rsidRPr="006524A2" w:rsidRDefault="00B9204B" w:rsidP="00B9204B">
      <w:pPr>
        <w:pStyle w:val="Brdtekstinnrykk2"/>
        <w:ind w:left="0"/>
        <w:rPr>
          <w:szCs w:val="20"/>
        </w:rPr>
      </w:pPr>
    </w:p>
    <w:p w14:paraId="52F8B05F" w14:textId="77777777" w:rsidR="00B9204B" w:rsidRDefault="00B9204B" w:rsidP="00B9204B">
      <w:pPr>
        <w:pStyle w:val="Brdtekstinnrykk2"/>
        <w:ind w:left="0"/>
        <w:rPr>
          <w:szCs w:val="20"/>
        </w:rPr>
      </w:pPr>
      <w:r w:rsidRPr="006524A2">
        <w:rPr>
          <w:b/>
          <w:bCs/>
          <w:szCs w:val="20"/>
        </w:rPr>
        <w:t>Support cost:</w:t>
      </w:r>
      <w:r w:rsidRPr="006524A2">
        <w:rPr>
          <w:szCs w:val="20"/>
        </w:rPr>
        <w:t xml:space="preserve"> </w:t>
      </w:r>
      <w:proofErr w:type="gramStart"/>
      <w:r w:rsidRPr="006524A2">
        <w:rPr>
          <w:szCs w:val="20"/>
        </w:rPr>
        <w:t>A number of</w:t>
      </w:r>
      <w:proofErr w:type="gramEnd"/>
      <w:r w:rsidRPr="006524A2">
        <w:rPr>
          <w:szCs w:val="20"/>
        </w:rPr>
        <w:t xml:space="preserve"> allocation models are in use to distribute different support and overhead costs between all types of units. These allocation models are different, dependant on the type of cost. The main purpose of the different allocation models is to ensure that the cost allocation is in line with the operational requirements and the actual use of the different support functions. Support cost associated with tower control functions </w:t>
      </w:r>
      <w:r>
        <w:rPr>
          <w:szCs w:val="20"/>
        </w:rPr>
        <w:t>are</w:t>
      </w:r>
      <w:r w:rsidRPr="006524A2">
        <w:rPr>
          <w:szCs w:val="20"/>
        </w:rPr>
        <w:t xml:space="preserve"> forwarded to the airport operators</w:t>
      </w:r>
      <w:r>
        <w:rPr>
          <w:szCs w:val="20"/>
        </w:rPr>
        <w:t xml:space="preserve"> and into the TNC cost base</w:t>
      </w:r>
      <w:r w:rsidRPr="006524A2">
        <w:rPr>
          <w:szCs w:val="20"/>
        </w:rPr>
        <w:t xml:space="preserve">. </w:t>
      </w:r>
      <w:r>
        <w:rPr>
          <w:szCs w:val="20"/>
        </w:rPr>
        <w:t>2</w:t>
      </w:r>
      <w:r w:rsidRPr="006524A2">
        <w:rPr>
          <w:szCs w:val="20"/>
        </w:rPr>
        <w:t xml:space="preserve">0 % of the cost associated with approach control functions is allocated to the </w:t>
      </w:r>
      <w:r>
        <w:rPr>
          <w:szCs w:val="20"/>
        </w:rPr>
        <w:t>TNC cost base</w:t>
      </w:r>
      <w:r w:rsidRPr="006524A2">
        <w:rPr>
          <w:szCs w:val="20"/>
        </w:rPr>
        <w:t xml:space="preserve">, whereas the remaining </w:t>
      </w:r>
      <w:r>
        <w:rPr>
          <w:szCs w:val="20"/>
        </w:rPr>
        <w:t>8</w:t>
      </w:r>
      <w:r w:rsidRPr="006524A2">
        <w:rPr>
          <w:szCs w:val="20"/>
        </w:rPr>
        <w:t xml:space="preserve">0 % and the support cost associated with </w:t>
      </w:r>
      <w:proofErr w:type="spellStart"/>
      <w:r w:rsidRPr="006524A2">
        <w:rPr>
          <w:szCs w:val="20"/>
        </w:rPr>
        <w:t>en</w:t>
      </w:r>
      <w:proofErr w:type="spellEnd"/>
      <w:r w:rsidRPr="006524A2">
        <w:rPr>
          <w:szCs w:val="20"/>
        </w:rPr>
        <w:t xml:space="preserve">-route functions are allocated to the </w:t>
      </w:r>
      <w:proofErr w:type="spellStart"/>
      <w:r w:rsidRPr="006524A2">
        <w:rPr>
          <w:szCs w:val="20"/>
        </w:rPr>
        <w:t>en</w:t>
      </w:r>
      <w:proofErr w:type="spellEnd"/>
      <w:r w:rsidRPr="006524A2">
        <w:rPr>
          <w:szCs w:val="20"/>
        </w:rPr>
        <w:t>-route cost base.</w:t>
      </w:r>
    </w:p>
    <w:p w14:paraId="299300CF" w14:textId="77777777" w:rsidR="00B9204B" w:rsidRPr="006524A2" w:rsidRDefault="00B9204B" w:rsidP="00B9204B">
      <w:pPr>
        <w:pStyle w:val="Brdtekstinnrykk2"/>
        <w:ind w:left="0"/>
        <w:rPr>
          <w:szCs w:val="20"/>
        </w:rPr>
      </w:pPr>
    </w:p>
    <w:p w14:paraId="0792C5F1" w14:textId="70609AEE" w:rsidR="00B9204B" w:rsidRDefault="00B9204B" w:rsidP="00B9204B">
      <w:pPr>
        <w:pStyle w:val="Brdtekstinnrykk2"/>
        <w:ind w:left="0"/>
        <w:rPr>
          <w:szCs w:val="20"/>
        </w:rPr>
      </w:pPr>
      <w:r w:rsidRPr="006524A2">
        <w:rPr>
          <w:b/>
          <w:bCs/>
          <w:szCs w:val="20"/>
        </w:rPr>
        <w:t xml:space="preserve">CNS-cost: </w:t>
      </w:r>
      <w:r w:rsidRPr="006524A2">
        <w:rPr>
          <w:szCs w:val="20"/>
        </w:rPr>
        <w:t xml:space="preserve">The cost related to the operation of the CNS facilities is divided between tower control functions, approach control functions and </w:t>
      </w:r>
      <w:proofErr w:type="spellStart"/>
      <w:r w:rsidRPr="006524A2">
        <w:rPr>
          <w:szCs w:val="20"/>
        </w:rPr>
        <w:t>en</w:t>
      </w:r>
      <w:proofErr w:type="spellEnd"/>
      <w:r w:rsidRPr="006524A2">
        <w:rPr>
          <w:szCs w:val="20"/>
        </w:rPr>
        <w:t>-route</w:t>
      </w:r>
      <w:r w:rsidR="00FA6219">
        <w:rPr>
          <w:szCs w:val="20"/>
        </w:rPr>
        <w:t xml:space="preserve"> control</w:t>
      </w:r>
      <w:r w:rsidRPr="006524A2">
        <w:rPr>
          <w:szCs w:val="20"/>
        </w:rPr>
        <w:t xml:space="preserve"> functions. When CNS/ATM-equipment is serving </w:t>
      </w:r>
      <w:r w:rsidR="00FA6219">
        <w:rPr>
          <w:szCs w:val="20"/>
        </w:rPr>
        <w:t>several</w:t>
      </w:r>
      <w:r w:rsidR="00FA6219" w:rsidRPr="006524A2">
        <w:rPr>
          <w:szCs w:val="20"/>
        </w:rPr>
        <w:t xml:space="preserve"> </w:t>
      </w:r>
      <w:r w:rsidRPr="006524A2">
        <w:rPr>
          <w:szCs w:val="20"/>
        </w:rPr>
        <w:t>functions, a proportional number is defined for each installation based on the operational requirements and the actual use of the installation concerned. The cost related to tower control functions</w:t>
      </w:r>
      <w:r>
        <w:rPr>
          <w:szCs w:val="20"/>
        </w:rPr>
        <w:t xml:space="preserve"> </w:t>
      </w:r>
      <w:r w:rsidR="00684AAF">
        <w:rPr>
          <w:szCs w:val="20"/>
        </w:rPr>
        <w:t>is</w:t>
      </w:r>
      <w:r w:rsidR="00684AAF" w:rsidRPr="006524A2">
        <w:rPr>
          <w:szCs w:val="20"/>
        </w:rPr>
        <w:t xml:space="preserve"> </w:t>
      </w:r>
      <w:r w:rsidRPr="006524A2">
        <w:rPr>
          <w:szCs w:val="20"/>
        </w:rPr>
        <w:t>allocated entirely to the airport operator</w:t>
      </w:r>
      <w:r>
        <w:rPr>
          <w:szCs w:val="20"/>
        </w:rPr>
        <w:t xml:space="preserve"> and into the TNC cost base</w:t>
      </w:r>
      <w:r w:rsidRPr="006524A2">
        <w:rPr>
          <w:szCs w:val="20"/>
        </w:rPr>
        <w:t xml:space="preserve">, whereas the cost related to approach control services </w:t>
      </w:r>
      <w:r w:rsidR="00684AAF">
        <w:rPr>
          <w:szCs w:val="20"/>
        </w:rPr>
        <w:t xml:space="preserve">is </w:t>
      </w:r>
      <w:r>
        <w:rPr>
          <w:szCs w:val="20"/>
        </w:rPr>
        <w:t>forwarded 20 % to</w:t>
      </w:r>
      <w:r w:rsidRPr="006524A2">
        <w:rPr>
          <w:szCs w:val="20"/>
        </w:rPr>
        <w:t xml:space="preserve"> the </w:t>
      </w:r>
      <w:r>
        <w:rPr>
          <w:szCs w:val="20"/>
        </w:rPr>
        <w:t>TNC cost base</w:t>
      </w:r>
      <w:r w:rsidRPr="006524A2">
        <w:rPr>
          <w:szCs w:val="20"/>
        </w:rPr>
        <w:t xml:space="preserve"> and </w:t>
      </w:r>
      <w:r>
        <w:rPr>
          <w:szCs w:val="20"/>
        </w:rPr>
        <w:t xml:space="preserve">80 % to </w:t>
      </w:r>
      <w:r w:rsidRPr="006524A2">
        <w:rPr>
          <w:szCs w:val="20"/>
        </w:rPr>
        <w:t xml:space="preserve">the </w:t>
      </w:r>
      <w:proofErr w:type="spellStart"/>
      <w:r w:rsidRPr="006524A2">
        <w:rPr>
          <w:szCs w:val="20"/>
        </w:rPr>
        <w:t>en</w:t>
      </w:r>
      <w:proofErr w:type="spellEnd"/>
      <w:r w:rsidRPr="006524A2">
        <w:rPr>
          <w:szCs w:val="20"/>
        </w:rPr>
        <w:t xml:space="preserve">-route cost base. </w:t>
      </w:r>
    </w:p>
    <w:p w14:paraId="24C05FA1" w14:textId="77777777" w:rsidR="00B9204B" w:rsidRPr="006524A2" w:rsidRDefault="00B9204B" w:rsidP="00B9204B">
      <w:pPr>
        <w:pStyle w:val="Brdtekstinnrykk2"/>
        <w:ind w:left="0"/>
        <w:rPr>
          <w:szCs w:val="20"/>
        </w:rPr>
      </w:pPr>
    </w:p>
    <w:p w14:paraId="03217C5B" w14:textId="6C7BAEE9" w:rsidR="00B9204B" w:rsidRPr="006524A2" w:rsidRDefault="00B9204B" w:rsidP="00B9204B">
      <w:pPr>
        <w:pStyle w:val="Brdtekstinnrykk2"/>
        <w:ind w:left="0"/>
        <w:rPr>
          <w:szCs w:val="20"/>
        </w:rPr>
      </w:pPr>
      <w:r w:rsidRPr="006524A2">
        <w:rPr>
          <w:b/>
          <w:bCs/>
          <w:szCs w:val="20"/>
        </w:rPr>
        <w:t xml:space="preserve">Depreciation: </w:t>
      </w:r>
      <w:r w:rsidRPr="006524A2">
        <w:rPr>
          <w:szCs w:val="20"/>
        </w:rPr>
        <w:t xml:space="preserve">Depreciation cost is allocated dependant on the actual use of the installations concerned. Where an installation serves </w:t>
      </w:r>
      <w:r w:rsidR="00FA6219">
        <w:rPr>
          <w:szCs w:val="20"/>
        </w:rPr>
        <w:t>several</w:t>
      </w:r>
      <w:r w:rsidR="00FA6219" w:rsidRPr="006524A2">
        <w:rPr>
          <w:szCs w:val="20"/>
        </w:rPr>
        <w:t xml:space="preserve"> </w:t>
      </w:r>
      <w:r w:rsidRPr="006524A2">
        <w:rPr>
          <w:szCs w:val="20"/>
        </w:rPr>
        <w:t xml:space="preserve">functions, a proportional </w:t>
      </w:r>
      <w:r w:rsidR="00FA6219">
        <w:rPr>
          <w:szCs w:val="20"/>
        </w:rPr>
        <w:t>split</w:t>
      </w:r>
      <w:r w:rsidR="00FA6219" w:rsidRPr="006524A2">
        <w:rPr>
          <w:szCs w:val="20"/>
        </w:rPr>
        <w:t xml:space="preserve"> </w:t>
      </w:r>
      <w:r w:rsidRPr="006524A2">
        <w:rPr>
          <w:szCs w:val="20"/>
        </w:rPr>
        <w:t xml:space="preserve">between tower control services, approach control services and </w:t>
      </w:r>
      <w:proofErr w:type="spellStart"/>
      <w:r w:rsidRPr="006524A2">
        <w:rPr>
          <w:szCs w:val="20"/>
        </w:rPr>
        <w:t>en</w:t>
      </w:r>
      <w:proofErr w:type="spellEnd"/>
      <w:r w:rsidRPr="006524A2">
        <w:rPr>
          <w:szCs w:val="20"/>
        </w:rPr>
        <w:t xml:space="preserve">-route </w:t>
      </w:r>
      <w:r w:rsidR="001B23BE">
        <w:rPr>
          <w:szCs w:val="20"/>
        </w:rPr>
        <w:t xml:space="preserve">control </w:t>
      </w:r>
      <w:r w:rsidRPr="006524A2">
        <w:rPr>
          <w:szCs w:val="20"/>
        </w:rPr>
        <w:t xml:space="preserve">services </w:t>
      </w:r>
      <w:proofErr w:type="gramStart"/>
      <w:r w:rsidR="00684AAF">
        <w:rPr>
          <w:szCs w:val="20"/>
        </w:rPr>
        <w:t>is</w:t>
      </w:r>
      <w:proofErr w:type="gramEnd"/>
      <w:r w:rsidR="00684AAF" w:rsidRPr="006524A2">
        <w:rPr>
          <w:szCs w:val="20"/>
        </w:rPr>
        <w:t xml:space="preserve"> </w:t>
      </w:r>
      <w:r w:rsidRPr="006524A2">
        <w:rPr>
          <w:szCs w:val="20"/>
        </w:rPr>
        <w:t xml:space="preserve">determined. This is based on the operational use of the installation. The depreciation cost in the TNC cost base includes the depreciation for installations that are used entirely or partly for </w:t>
      </w:r>
      <w:r w:rsidR="00FA6219">
        <w:rPr>
          <w:szCs w:val="20"/>
        </w:rPr>
        <w:t>tower control</w:t>
      </w:r>
      <w:r w:rsidR="00FA6219" w:rsidRPr="006524A2">
        <w:rPr>
          <w:szCs w:val="20"/>
        </w:rPr>
        <w:t xml:space="preserve"> </w:t>
      </w:r>
      <w:r w:rsidRPr="006524A2">
        <w:rPr>
          <w:szCs w:val="20"/>
        </w:rPr>
        <w:t>functions</w:t>
      </w:r>
      <w:r w:rsidR="00684AAF">
        <w:rPr>
          <w:szCs w:val="20"/>
        </w:rPr>
        <w:t>,</w:t>
      </w:r>
      <w:r w:rsidRPr="006524A2">
        <w:rPr>
          <w:szCs w:val="20"/>
        </w:rPr>
        <w:t xml:space="preserve"> and </w:t>
      </w:r>
      <w:r>
        <w:rPr>
          <w:szCs w:val="20"/>
        </w:rPr>
        <w:t>20</w:t>
      </w:r>
      <w:r w:rsidRPr="006524A2">
        <w:rPr>
          <w:szCs w:val="20"/>
        </w:rPr>
        <w:t xml:space="preserve"> % of the depreciation cost for installations that are used entirely or partly for approach control functions.</w:t>
      </w:r>
    </w:p>
    <w:p w14:paraId="1DF969A5" w14:textId="10338C4B" w:rsidR="00D35ED1" w:rsidRPr="00E57288" w:rsidRDefault="00D35ED1" w:rsidP="00E57288">
      <w:pPr>
        <w:pStyle w:val="Default"/>
        <w:jc w:val="both"/>
        <w:rPr>
          <w:rFonts w:ascii="Arial" w:hAnsi="Arial" w:cs="Arial"/>
          <w:color w:val="17365D"/>
          <w:sz w:val="20"/>
          <w:szCs w:val="20"/>
        </w:rPr>
      </w:pPr>
    </w:p>
    <w:p w14:paraId="04569D96" w14:textId="77777777" w:rsidR="00E57288" w:rsidRDefault="00E57288" w:rsidP="00352E4E">
      <w:pPr>
        <w:pStyle w:val="Default"/>
        <w:jc w:val="both"/>
        <w:rPr>
          <w:rFonts w:ascii="Arial" w:hAnsi="Arial" w:cs="Arial"/>
          <w:color w:val="17365D"/>
          <w:sz w:val="20"/>
          <w:szCs w:val="20"/>
        </w:rPr>
      </w:pPr>
    </w:p>
    <w:p w14:paraId="09E83147" w14:textId="77777777" w:rsidR="001E4F4B" w:rsidRPr="00CA5B88" w:rsidRDefault="001E4F4B"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2BDD5DE7" w14:textId="77777777" w:rsidTr="002D6CCF">
        <w:tc>
          <w:tcPr>
            <w:tcW w:w="9242" w:type="dxa"/>
            <w:shd w:val="clear" w:color="auto" w:fill="C6D9F1"/>
          </w:tcPr>
          <w:p w14:paraId="2BB7239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w:t>
            </w:r>
            <w:r>
              <w:rPr>
                <w:rFonts w:ascii="Arial" w:hAnsi="Arial" w:cs="Arial"/>
                <w:b/>
                <w:color w:val="17365D"/>
                <w:sz w:val="20"/>
                <w:szCs w:val="20"/>
              </w:rPr>
              <w:t xml:space="preserve"> D</w:t>
            </w:r>
            <w:r w:rsidRPr="00352E4E">
              <w:rPr>
                <w:rFonts w:ascii="Arial" w:hAnsi="Arial" w:cs="Arial"/>
                <w:b/>
                <w:color w:val="17365D"/>
                <w:sz w:val="20"/>
                <w:szCs w:val="20"/>
              </w:rPr>
              <w:t>escription of the methodology and assumptions used to establish the costs of air navigation services provided to VFR flights, when exemptions are granted for VFR flights in accordance with Article 31(3), 31(4) and 31(5);</w:t>
            </w:r>
          </w:p>
        </w:tc>
      </w:tr>
    </w:tbl>
    <w:p w14:paraId="66683F08" w14:textId="77777777" w:rsidR="00352E4E" w:rsidRDefault="00352E4E" w:rsidP="00352E4E">
      <w:pPr>
        <w:pStyle w:val="Default"/>
        <w:jc w:val="both"/>
        <w:rPr>
          <w:rFonts w:ascii="Arial" w:hAnsi="Arial" w:cs="Arial"/>
          <w:color w:val="17365D"/>
          <w:sz w:val="20"/>
          <w:szCs w:val="20"/>
        </w:rPr>
      </w:pPr>
    </w:p>
    <w:p w14:paraId="2D3BC7F3" w14:textId="15063D01" w:rsidR="00B9204B" w:rsidRPr="00AE5D25" w:rsidRDefault="00B9204B" w:rsidP="00B9204B">
      <w:pPr>
        <w:pStyle w:val="Fotnotetekst"/>
        <w:jc w:val="both"/>
        <w:rPr>
          <w:rFonts w:ascii="Arial" w:hAnsi="Arial" w:cs="Arial"/>
        </w:rPr>
      </w:pPr>
      <w:r w:rsidRPr="00844EC9">
        <w:rPr>
          <w:rFonts w:ascii="Arial" w:hAnsi="Arial" w:cs="Arial"/>
        </w:rPr>
        <w:t>The volume of VFR flights in Norway</w:t>
      </w:r>
      <w:r>
        <w:rPr>
          <w:rFonts w:ascii="Arial" w:hAnsi="Arial" w:cs="Arial"/>
        </w:rPr>
        <w:t xml:space="preserve"> is generally small and services to VFR flights are provided as an integrated part of the services provided from the ATS-units. </w:t>
      </w:r>
      <w:bookmarkStart w:id="0" w:name="_Hlk73291028"/>
      <w:r>
        <w:rPr>
          <w:rFonts w:ascii="Arial" w:hAnsi="Arial" w:cs="Arial"/>
        </w:rPr>
        <w:t xml:space="preserve">The cost share for VFR flights </w:t>
      </w:r>
      <w:r w:rsidR="00684AAF">
        <w:rPr>
          <w:rFonts w:ascii="Arial" w:hAnsi="Arial" w:cs="Arial"/>
        </w:rPr>
        <w:t xml:space="preserve">is </w:t>
      </w:r>
      <w:r>
        <w:rPr>
          <w:rFonts w:ascii="Arial" w:hAnsi="Arial" w:cs="Arial"/>
        </w:rPr>
        <w:t>estimated to 0,25% of the total cost</w:t>
      </w:r>
      <w:r w:rsidR="00943A2F">
        <w:rPr>
          <w:rFonts w:ascii="Arial" w:hAnsi="Arial" w:cs="Arial"/>
        </w:rPr>
        <w:t xml:space="preserve"> from 2021 to 2024</w:t>
      </w:r>
      <w:r>
        <w:rPr>
          <w:rFonts w:ascii="Arial" w:hAnsi="Arial" w:cs="Arial"/>
        </w:rPr>
        <w:t xml:space="preserve">. </w:t>
      </w:r>
    </w:p>
    <w:bookmarkEnd w:id="0"/>
    <w:p w14:paraId="4847071F" w14:textId="7EEEE107" w:rsidR="00D35ED1" w:rsidRPr="00E57288" w:rsidRDefault="00D35ED1" w:rsidP="00D35ED1">
      <w:pPr>
        <w:pStyle w:val="Default"/>
        <w:jc w:val="both"/>
        <w:rPr>
          <w:rFonts w:ascii="Arial" w:hAnsi="Arial" w:cs="Arial"/>
          <w:color w:val="17365D"/>
          <w:sz w:val="20"/>
          <w:szCs w:val="20"/>
        </w:rPr>
      </w:pPr>
    </w:p>
    <w:p w14:paraId="67E91BB5"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3E4BE198" w14:textId="77777777" w:rsidTr="002D6CCF">
        <w:tc>
          <w:tcPr>
            <w:tcW w:w="9242" w:type="dxa"/>
            <w:shd w:val="clear" w:color="auto" w:fill="C6D9F1"/>
          </w:tcPr>
          <w:p w14:paraId="74D8DAB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lastRenderedPageBreak/>
              <w:t>c</w:t>
            </w:r>
            <w:r w:rsidRPr="00CA5B88">
              <w:rPr>
                <w:rFonts w:ascii="Arial" w:hAnsi="Arial" w:cs="Arial"/>
                <w:b/>
                <w:color w:val="17365D"/>
                <w:sz w:val="20"/>
                <w:szCs w:val="20"/>
              </w:rPr>
              <w:t xml:space="preserve">) </w:t>
            </w:r>
            <w:r>
              <w:rPr>
                <w:rFonts w:ascii="Arial" w:hAnsi="Arial" w:cs="Arial"/>
                <w:b/>
                <w:color w:val="17365D"/>
                <w:sz w:val="20"/>
                <w:szCs w:val="20"/>
              </w:rPr>
              <w:t>C</w:t>
            </w:r>
            <w:r w:rsidRPr="00352E4E">
              <w:rPr>
                <w:rFonts w:ascii="Arial" w:hAnsi="Arial" w:cs="Arial"/>
                <w:b/>
                <w:color w:val="17365D"/>
                <w:sz w:val="20"/>
                <w:szCs w:val="20"/>
              </w:rPr>
              <w:t xml:space="preserve">riteria used to allocate costs between terminal and </w:t>
            </w:r>
            <w:proofErr w:type="spellStart"/>
            <w:r w:rsidRPr="00352E4E">
              <w:rPr>
                <w:rFonts w:ascii="Arial" w:hAnsi="Arial" w:cs="Arial"/>
                <w:b/>
                <w:color w:val="17365D"/>
                <w:sz w:val="20"/>
                <w:szCs w:val="20"/>
              </w:rPr>
              <w:t>en</w:t>
            </w:r>
            <w:proofErr w:type="spellEnd"/>
            <w:r w:rsidRPr="00352E4E">
              <w:rPr>
                <w:rFonts w:ascii="Arial" w:hAnsi="Arial" w:cs="Arial"/>
                <w:b/>
                <w:color w:val="17365D"/>
                <w:sz w:val="20"/>
                <w:szCs w:val="20"/>
              </w:rPr>
              <w:t xml:space="preserve"> route services, in accordance with Article 22(5);</w:t>
            </w:r>
          </w:p>
        </w:tc>
      </w:tr>
    </w:tbl>
    <w:p w14:paraId="001A5DC3" w14:textId="6571AE52" w:rsidR="006E53E8" w:rsidRDefault="006E53E8" w:rsidP="006E53E8">
      <w:pPr>
        <w:pStyle w:val="Default"/>
        <w:jc w:val="both"/>
        <w:rPr>
          <w:rFonts w:ascii="Arial" w:hAnsi="Arial" w:cs="Arial"/>
          <w:color w:val="17365D"/>
          <w:sz w:val="20"/>
          <w:szCs w:val="20"/>
        </w:rPr>
      </w:pPr>
    </w:p>
    <w:p w14:paraId="55395A27" w14:textId="477D9E6F" w:rsidR="00AB640F" w:rsidRPr="00AB640F" w:rsidRDefault="00AB640F" w:rsidP="006E53E8">
      <w:pPr>
        <w:pStyle w:val="Default"/>
        <w:jc w:val="both"/>
        <w:rPr>
          <w:rFonts w:ascii="Arial" w:hAnsi="Arial" w:cs="Arial"/>
          <w:b/>
          <w:bCs/>
          <w:color w:val="17365D"/>
          <w:sz w:val="20"/>
          <w:szCs w:val="20"/>
        </w:rPr>
      </w:pPr>
      <w:r w:rsidRPr="00AB640F">
        <w:rPr>
          <w:rFonts w:ascii="Arial" w:hAnsi="Arial" w:cs="Arial"/>
          <w:b/>
          <w:bCs/>
          <w:color w:val="17365D"/>
          <w:sz w:val="20"/>
          <w:szCs w:val="20"/>
        </w:rPr>
        <w:t>2019</w:t>
      </w:r>
      <w:r>
        <w:rPr>
          <w:rFonts w:ascii="Arial" w:hAnsi="Arial" w:cs="Arial"/>
          <w:b/>
          <w:bCs/>
          <w:color w:val="17365D"/>
          <w:sz w:val="20"/>
          <w:szCs w:val="20"/>
        </w:rPr>
        <w:t xml:space="preserve"> baseline </w:t>
      </w:r>
      <w:r w:rsidR="00F1062B">
        <w:rPr>
          <w:rFonts w:ascii="Arial" w:hAnsi="Arial" w:cs="Arial"/>
          <w:b/>
          <w:bCs/>
          <w:color w:val="17365D"/>
          <w:sz w:val="20"/>
          <w:szCs w:val="20"/>
        </w:rPr>
        <w:t>adjustments</w:t>
      </w:r>
    </w:p>
    <w:p w14:paraId="2EDB8C4F" w14:textId="6A39E8A4" w:rsidR="001156A3" w:rsidRDefault="001156A3" w:rsidP="006E53E8">
      <w:pPr>
        <w:pStyle w:val="Default"/>
        <w:jc w:val="both"/>
        <w:rPr>
          <w:rFonts w:ascii="Arial" w:hAnsi="Arial" w:cs="Arial"/>
          <w:color w:val="17365D"/>
          <w:sz w:val="20"/>
          <w:szCs w:val="20"/>
        </w:rPr>
      </w:pPr>
      <w:r w:rsidRPr="001156A3">
        <w:rPr>
          <w:noProof/>
        </w:rPr>
        <w:drawing>
          <wp:inline distT="0" distB="0" distL="0" distR="0" wp14:anchorId="457BD86B" wp14:editId="1A198FBB">
            <wp:extent cx="5759450" cy="2486660"/>
            <wp:effectExtent l="19050" t="19050" r="12700" b="2794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486660"/>
                    </a:xfrm>
                    <a:prstGeom prst="rect">
                      <a:avLst/>
                    </a:prstGeom>
                    <a:noFill/>
                    <a:ln>
                      <a:solidFill>
                        <a:schemeClr val="tx1"/>
                      </a:solidFill>
                    </a:ln>
                  </pic:spPr>
                </pic:pic>
              </a:graphicData>
            </a:graphic>
          </wp:inline>
        </w:drawing>
      </w:r>
    </w:p>
    <w:p w14:paraId="35F29615" w14:textId="2A2BB7FE" w:rsidR="001156A3" w:rsidRDefault="001156A3" w:rsidP="006E53E8">
      <w:pPr>
        <w:pStyle w:val="Default"/>
        <w:jc w:val="both"/>
        <w:rPr>
          <w:rFonts w:ascii="Arial" w:hAnsi="Arial" w:cs="Arial"/>
          <w:color w:val="17365D"/>
          <w:sz w:val="20"/>
          <w:szCs w:val="20"/>
        </w:rPr>
      </w:pPr>
    </w:p>
    <w:p w14:paraId="0E8BB7A4" w14:textId="32AF1671" w:rsidR="00D35ED1" w:rsidRDefault="001156A3" w:rsidP="00D35ED1">
      <w:pPr>
        <w:pStyle w:val="Default"/>
        <w:jc w:val="both"/>
        <w:rPr>
          <w:rFonts w:ascii="Arial" w:hAnsi="Arial" w:cs="Arial"/>
          <w:color w:val="auto"/>
          <w:sz w:val="20"/>
          <w:szCs w:val="20"/>
        </w:rPr>
      </w:pPr>
      <w:r w:rsidRPr="00701F28">
        <w:rPr>
          <w:rFonts w:ascii="Arial" w:hAnsi="Arial" w:cs="Arial"/>
          <w:color w:val="auto"/>
          <w:sz w:val="20"/>
          <w:szCs w:val="20"/>
          <w:lang w:val="en-US"/>
        </w:rPr>
        <w:t>The above change was implemented as from 2020</w:t>
      </w:r>
      <w:r>
        <w:rPr>
          <w:rFonts w:ascii="Arial" w:hAnsi="Arial" w:cs="Arial"/>
          <w:color w:val="auto"/>
          <w:sz w:val="20"/>
          <w:szCs w:val="20"/>
          <w:lang w:val="en-US"/>
        </w:rPr>
        <w:t>,</w:t>
      </w:r>
      <w:r w:rsidR="007926C2">
        <w:rPr>
          <w:rFonts w:ascii="Arial" w:hAnsi="Arial" w:cs="Arial"/>
          <w:color w:val="auto"/>
          <w:sz w:val="20"/>
          <w:szCs w:val="20"/>
        </w:rPr>
        <w:t xml:space="preserve"> </w:t>
      </w:r>
      <w:r w:rsidRPr="001156A3">
        <w:rPr>
          <w:rFonts w:ascii="Arial" w:hAnsi="Arial" w:cs="Arial"/>
          <w:bCs/>
          <w:color w:val="17365D"/>
          <w:sz w:val="20"/>
          <w:szCs w:val="20"/>
        </w:rPr>
        <w:t>methodology</w:t>
      </w:r>
      <w:r w:rsidRPr="001156A3">
        <w:rPr>
          <w:rFonts w:ascii="Arial" w:hAnsi="Arial" w:cs="Arial"/>
          <w:bCs/>
          <w:color w:val="auto"/>
          <w:sz w:val="20"/>
          <w:szCs w:val="20"/>
        </w:rPr>
        <w:t xml:space="preserve"> </w:t>
      </w:r>
      <w:r>
        <w:rPr>
          <w:rFonts w:ascii="Arial" w:hAnsi="Arial" w:cs="Arial"/>
          <w:color w:val="auto"/>
          <w:sz w:val="20"/>
          <w:szCs w:val="20"/>
        </w:rPr>
        <w:t xml:space="preserve">also </w:t>
      </w:r>
      <w:r w:rsidR="007926C2">
        <w:rPr>
          <w:rFonts w:ascii="Arial" w:hAnsi="Arial" w:cs="Arial"/>
          <w:color w:val="auto"/>
          <w:sz w:val="20"/>
          <w:szCs w:val="20"/>
        </w:rPr>
        <w:t>d</w:t>
      </w:r>
      <w:r w:rsidR="00B9204B">
        <w:rPr>
          <w:rFonts w:ascii="Arial" w:hAnsi="Arial" w:cs="Arial"/>
          <w:color w:val="auto"/>
          <w:sz w:val="20"/>
          <w:szCs w:val="20"/>
        </w:rPr>
        <w:t>escribed in 1a)</w:t>
      </w:r>
    </w:p>
    <w:p w14:paraId="01FCB62F" w14:textId="77777777" w:rsidR="00F4345C" w:rsidRPr="00B9204B" w:rsidRDefault="00F4345C" w:rsidP="00D35ED1">
      <w:pPr>
        <w:pStyle w:val="Default"/>
        <w:jc w:val="both"/>
        <w:rPr>
          <w:rFonts w:ascii="Arial" w:hAnsi="Arial" w:cs="Arial"/>
          <w:color w:val="auto"/>
          <w:sz w:val="20"/>
          <w:szCs w:val="20"/>
        </w:rPr>
      </w:pPr>
    </w:p>
    <w:p w14:paraId="2110D218" w14:textId="77777777" w:rsidR="00D35ED1" w:rsidRPr="00E57288" w:rsidRDefault="00D35ED1" w:rsidP="006E53E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AB6F3B0" w14:textId="77777777" w:rsidTr="002D6CCF">
        <w:tc>
          <w:tcPr>
            <w:tcW w:w="9242" w:type="dxa"/>
            <w:shd w:val="clear" w:color="auto" w:fill="C6D9F1"/>
          </w:tcPr>
          <w:p w14:paraId="1D589774"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B</w:t>
            </w:r>
            <w:r w:rsidRPr="00352E4E">
              <w:rPr>
                <w:rFonts w:ascii="Arial" w:hAnsi="Arial" w:cs="Arial"/>
                <w:b/>
                <w:color w:val="17365D"/>
                <w:sz w:val="20"/>
                <w:szCs w:val="20"/>
              </w:rPr>
              <w:t xml:space="preserve">reakdown of the meteorological costs between direct costs and the costs of supporting meteorological facilities and services that also serve meteorological requirements in general (‘MET core costs’). MET core costs include general analysis and forecasting, surface and upper-air observation networks, meteorological communication systems, data processing centres and supporting core research, </w:t>
            </w:r>
            <w:proofErr w:type="gramStart"/>
            <w:r w:rsidRPr="00352E4E">
              <w:rPr>
                <w:rFonts w:ascii="Arial" w:hAnsi="Arial" w:cs="Arial"/>
                <w:b/>
                <w:color w:val="17365D"/>
                <w:sz w:val="20"/>
                <w:szCs w:val="20"/>
              </w:rPr>
              <w:t>training</w:t>
            </w:r>
            <w:proofErr w:type="gramEnd"/>
            <w:r w:rsidRPr="00352E4E">
              <w:rPr>
                <w:rFonts w:ascii="Arial" w:hAnsi="Arial" w:cs="Arial"/>
                <w:b/>
                <w:color w:val="17365D"/>
                <w:sz w:val="20"/>
                <w:szCs w:val="20"/>
              </w:rPr>
              <w:t xml:space="preserve"> and administration;</w:t>
            </w:r>
          </w:p>
        </w:tc>
      </w:tr>
    </w:tbl>
    <w:p w14:paraId="74451471" w14:textId="2AA965D7" w:rsidR="00D35ED1" w:rsidRDefault="00D35ED1" w:rsidP="00D35ED1">
      <w:pPr>
        <w:pStyle w:val="Default"/>
        <w:jc w:val="both"/>
        <w:rPr>
          <w:rFonts w:ascii="Arial" w:hAnsi="Arial" w:cs="Arial"/>
          <w:color w:val="17365D"/>
          <w:sz w:val="20"/>
          <w:szCs w:val="20"/>
        </w:rPr>
      </w:pPr>
    </w:p>
    <w:p w14:paraId="322F24A0" w14:textId="590477F5" w:rsidR="007926C2" w:rsidRDefault="00B9204B" w:rsidP="00B9204B">
      <w:pPr>
        <w:pStyle w:val="Default"/>
        <w:jc w:val="both"/>
        <w:rPr>
          <w:rFonts w:ascii="Arial" w:hAnsi="Arial" w:cs="Arial"/>
          <w:sz w:val="20"/>
          <w:szCs w:val="20"/>
        </w:rPr>
      </w:pPr>
      <w:r>
        <w:rPr>
          <w:rFonts w:ascii="Arial" w:hAnsi="Arial" w:cs="Arial"/>
          <w:sz w:val="20"/>
          <w:szCs w:val="20"/>
        </w:rPr>
        <w:t>The m</w:t>
      </w:r>
      <w:r w:rsidRPr="00A31788">
        <w:rPr>
          <w:rFonts w:ascii="Arial" w:hAnsi="Arial" w:cs="Arial"/>
          <w:sz w:val="20"/>
          <w:szCs w:val="20"/>
        </w:rPr>
        <w:t xml:space="preserve">eteorological costs </w:t>
      </w:r>
      <w:r>
        <w:rPr>
          <w:rFonts w:ascii="Arial" w:hAnsi="Arial" w:cs="Arial"/>
          <w:sz w:val="20"/>
          <w:szCs w:val="20"/>
        </w:rPr>
        <w:t xml:space="preserve">are included in the total terminal costs stemming from the supplier of ANS, </w:t>
      </w:r>
      <w:proofErr w:type="spellStart"/>
      <w:r>
        <w:rPr>
          <w:rFonts w:ascii="Arial" w:hAnsi="Arial" w:cs="Arial"/>
          <w:sz w:val="20"/>
          <w:szCs w:val="20"/>
        </w:rPr>
        <w:t>Avinor</w:t>
      </w:r>
      <w:proofErr w:type="spellEnd"/>
      <w:r>
        <w:rPr>
          <w:rFonts w:ascii="Arial" w:hAnsi="Arial" w:cs="Arial"/>
          <w:sz w:val="20"/>
          <w:szCs w:val="20"/>
        </w:rPr>
        <w:t xml:space="preserve"> </w:t>
      </w:r>
      <w:r w:rsidR="009D005F">
        <w:rPr>
          <w:rFonts w:ascii="Arial" w:hAnsi="Arial" w:cs="Arial"/>
          <w:sz w:val="20"/>
          <w:szCs w:val="20"/>
        </w:rPr>
        <w:t>ANS</w:t>
      </w:r>
      <w:r>
        <w:rPr>
          <w:rFonts w:ascii="Arial" w:hAnsi="Arial" w:cs="Arial"/>
          <w:sz w:val="20"/>
          <w:szCs w:val="20"/>
        </w:rPr>
        <w:t>.</w:t>
      </w:r>
      <w:r w:rsidR="00C94241">
        <w:rPr>
          <w:rFonts w:ascii="Arial" w:hAnsi="Arial" w:cs="Arial"/>
          <w:sz w:val="20"/>
          <w:szCs w:val="20"/>
        </w:rPr>
        <w:t xml:space="preserve"> </w:t>
      </w:r>
    </w:p>
    <w:p w14:paraId="7DE95281" w14:textId="77777777" w:rsidR="007926C2" w:rsidRDefault="007926C2" w:rsidP="00B9204B">
      <w:pPr>
        <w:pStyle w:val="Default"/>
        <w:jc w:val="both"/>
        <w:rPr>
          <w:rFonts w:ascii="Arial" w:hAnsi="Arial" w:cs="Arial"/>
          <w:sz w:val="20"/>
          <w:szCs w:val="20"/>
        </w:rPr>
      </w:pPr>
    </w:p>
    <w:p w14:paraId="128573AA" w14:textId="7BA3FA2A" w:rsidR="00B9204B" w:rsidRDefault="007926C2" w:rsidP="00B9204B">
      <w:pPr>
        <w:pStyle w:val="Default"/>
        <w:jc w:val="both"/>
        <w:rPr>
          <w:rFonts w:ascii="Arial" w:hAnsi="Arial" w:cs="Arial"/>
          <w:sz w:val="20"/>
          <w:szCs w:val="20"/>
        </w:rPr>
      </w:pPr>
      <w:r w:rsidRPr="007926C2">
        <w:rPr>
          <w:noProof/>
        </w:rPr>
        <w:drawing>
          <wp:inline distT="0" distB="0" distL="0" distR="0" wp14:anchorId="68727824" wp14:editId="0E2F9E36">
            <wp:extent cx="5759450" cy="12649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264920"/>
                    </a:xfrm>
                    <a:prstGeom prst="rect">
                      <a:avLst/>
                    </a:prstGeom>
                    <a:noFill/>
                    <a:ln>
                      <a:noFill/>
                    </a:ln>
                  </pic:spPr>
                </pic:pic>
              </a:graphicData>
            </a:graphic>
          </wp:inline>
        </w:drawing>
      </w:r>
    </w:p>
    <w:p w14:paraId="5CC11178" w14:textId="75C81E4E" w:rsidR="00C94241" w:rsidRDefault="00C94241" w:rsidP="00B9204B">
      <w:pPr>
        <w:pStyle w:val="Default"/>
        <w:jc w:val="both"/>
        <w:rPr>
          <w:rFonts w:ascii="Arial" w:hAnsi="Arial" w:cs="Arial"/>
          <w:sz w:val="20"/>
          <w:szCs w:val="20"/>
        </w:rPr>
      </w:pPr>
    </w:p>
    <w:p w14:paraId="1B7ACB9F" w14:textId="28478E1F" w:rsidR="00C94241" w:rsidRDefault="00C94241" w:rsidP="00C94241">
      <w:pPr>
        <w:pStyle w:val="Default"/>
        <w:jc w:val="both"/>
        <w:rPr>
          <w:rFonts w:ascii="Arial" w:hAnsi="Arial" w:cs="Arial"/>
          <w:sz w:val="20"/>
          <w:szCs w:val="20"/>
        </w:rPr>
      </w:pPr>
      <w:r>
        <w:rPr>
          <w:rFonts w:ascii="Arial" w:hAnsi="Arial" w:cs="Arial"/>
          <w:sz w:val="20"/>
          <w:szCs w:val="20"/>
        </w:rPr>
        <w:t>MET-c</w:t>
      </w:r>
      <w:r w:rsidRPr="00C94241">
        <w:rPr>
          <w:rFonts w:ascii="Arial" w:hAnsi="Arial" w:cs="Arial"/>
          <w:sz w:val="20"/>
          <w:szCs w:val="20"/>
        </w:rPr>
        <w:t xml:space="preserve">osts </w:t>
      </w:r>
      <w:r>
        <w:rPr>
          <w:rFonts w:ascii="Arial" w:hAnsi="Arial" w:cs="Arial"/>
          <w:sz w:val="20"/>
          <w:szCs w:val="20"/>
        </w:rPr>
        <w:t xml:space="preserve">are </w:t>
      </w:r>
      <w:r w:rsidRPr="00C94241">
        <w:rPr>
          <w:rFonts w:ascii="Arial" w:hAnsi="Arial" w:cs="Arial"/>
          <w:sz w:val="20"/>
          <w:szCs w:val="20"/>
        </w:rPr>
        <w:t xml:space="preserve">classified </w:t>
      </w:r>
      <w:r>
        <w:rPr>
          <w:rFonts w:ascii="Arial" w:hAnsi="Arial" w:cs="Arial"/>
          <w:sz w:val="20"/>
          <w:szCs w:val="20"/>
        </w:rPr>
        <w:t xml:space="preserve">in the TNC-cost base </w:t>
      </w:r>
      <w:r w:rsidRPr="00C94241">
        <w:rPr>
          <w:rFonts w:ascii="Arial" w:hAnsi="Arial" w:cs="Arial"/>
          <w:sz w:val="20"/>
          <w:szCs w:val="20"/>
        </w:rPr>
        <w:t xml:space="preserve">as Staff (86%) and </w:t>
      </w:r>
      <w:r>
        <w:rPr>
          <w:rFonts w:ascii="Arial" w:hAnsi="Arial" w:cs="Arial"/>
          <w:sz w:val="20"/>
          <w:szCs w:val="20"/>
        </w:rPr>
        <w:t>o</w:t>
      </w:r>
      <w:r w:rsidRPr="00C94241">
        <w:rPr>
          <w:rFonts w:ascii="Arial" w:hAnsi="Arial" w:cs="Arial"/>
          <w:sz w:val="20"/>
          <w:szCs w:val="20"/>
        </w:rPr>
        <w:t>ther operating costs (14%) according to feedback from the MET-service provider (The Norwegian Meteorological Institute)</w:t>
      </w:r>
    </w:p>
    <w:p w14:paraId="3FB4B4B6" w14:textId="50E24F87" w:rsidR="00B9204B" w:rsidRDefault="00B9204B" w:rsidP="00D35ED1">
      <w:pPr>
        <w:pStyle w:val="Default"/>
        <w:jc w:val="both"/>
        <w:rPr>
          <w:rFonts w:ascii="Arial" w:hAnsi="Arial" w:cs="Arial"/>
          <w:color w:val="17365D"/>
          <w:sz w:val="20"/>
          <w:szCs w:val="20"/>
        </w:rPr>
      </w:pPr>
    </w:p>
    <w:p w14:paraId="192E3701"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43345650" w14:textId="77777777" w:rsidTr="002D6CCF">
        <w:tc>
          <w:tcPr>
            <w:tcW w:w="9242" w:type="dxa"/>
            <w:shd w:val="clear" w:color="auto" w:fill="C6D9F1"/>
          </w:tcPr>
          <w:p w14:paraId="1D00CFE5"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methodology used for allocating total meteorological costs and MET core costs referred to in point (d) to civil aviation and between charging zones;</w:t>
            </w:r>
          </w:p>
        </w:tc>
      </w:tr>
    </w:tbl>
    <w:p w14:paraId="49E017E6" w14:textId="77777777" w:rsidR="00AA08CC" w:rsidRDefault="00AA08CC" w:rsidP="00AA08CC">
      <w:pPr>
        <w:pStyle w:val="Default"/>
        <w:jc w:val="both"/>
        <w:rPr>
          <w:rFonts w:ascii="Arial" w:hAnsi="Arial" w:cs="Arial"/>
          <w:color w:val="17365D"/>
          <w:sz w:val="20"/>
          <w:szCs w:val="20"/>
        </w:rPr>
      </w:pPr>
    </w:p>
    <w:p w14:paraId="4FB13A4E" w14:textId="3A046EA3" w:rsidR="00B9204B" w:rsidRPr="00FC249B" w:rsidRDefault="00B9204B" w:rsidP="00B9204B">
      <w:pPr>
        <w:pStyle w:val="Default"/>
        <w:jc w:val="both"/>
        <w:rPr>
          <w:rFonts w:ascii="Arial" w:hAnsi="Arial" w:cs="Arial"/>
          <w:sz w:val="20"/>
          <w:szCs w:val="20"/>
        </w:rPr>
      </w:pPr>
      <w:r>
        <w:rPr>
          <w:rFonts w:ascii="Arial" w:hAnsi="Arial" w:cs="Arial"/>
          <w:sz w:val="20"/>
          <w:szCs w:val="20"/>
        </w:rPr>
        <w:t>The m</w:t>
      </w:r>
      <w:r w:rsidRPr="00A31788">
        <w:rPr>
          <w:rFonts w:ascii="Arial" w:hAnsi="Arial" w:cs="Arial"/>
          <w:sz w:val="20"/>
          <w:szCs w:val="20"/>
        </w:rPr>
        <w:t>eteorological costs</w:t>
      </w:r>
      <w:r w:rsidRPr="00F43B7C">
        <w:rPr>
          <w:rFonts w:ascii="Arial" w:hAnsi="Arial" w:cs="Arial"/>
          <w:spacing w:val="-2"/>
          <w:sz w:val="20"/>
          <w:szCs w:val="20"/>
        </w:rPr>
        <w:t xml:space="preserve"> included in the</w:t>
      </w:r>
      <w:r>
        <w:rPr>
          <w:rFonts w:ascii="Arial" w:hAnsi="Arial" w:cs="Arial"/>
          <w:spacing w:val="-2"/>
          <w:sz w:val="20"/>
          <w:szCs w:val="20"/>
        </w:rPr>
        <w:t xml:space="preserve"> </w:t>
      </w:r>
      <w:r>
        <w:rPr>
          <w:rFonts w:ascii="Arial" w:hAnsi="Arial" w:cs="Arial"/>
          <w:sz w:val="20"/>
          <w:szCs w:val="20"/>
        </w:rPr>
        <w:t xml:space="preserve">terminal cost base </w:t>
      </w:r>
      <w:r>
        <w:rPr>
          <w:rFonts w:ascii="Arial" w:hAnsi="Arial" w:cs="Arial"/>
          <w:spacing w:val="-2"/>
          <w:sz w:val="20"/>
          <w:szCs w:val="20"/>
        </w:rPr>
        <w:t xml:space="preserve">are </w:t>
      </w:r>
      <w:r w:rsidRPr="00F43B7C">
        <w:rPr>
          <w:rFonts w:ascii="Arial" w:hAnsi="Arial" w:cs="Arial"/>
          <w:spacing w:val="-2"/>
          <w:sz w:val="20"/>
          <w:szCs w:val="20"/>
        </w:rPr>
        <w:t xml:space="preserve">based on the actual forecast products </w:t>
      </w:r>
      <w:r>
        <w:rPr>
          <w:rFonts w:ascii="Arial" w:hAnsi="Arial" w:cs="Arial"/>
          <w:spacing w:val="-2"/>
          <w:sz w:val="20"/>
          <w:szCs w:val="20"/>
        </w:rPr>
        <w:t xml:space="preserve">provided by the certified MET service provider </w:t>
      </w:r>
      <w:r w:rsidRPr="00F43B7C">
        <w:rPr>
          <w:rFonts w:ascii="Arial" w:hAnsi="Arial" w:cs="Arial"/>
          <w:spacing w:val="-2"/>
          <w:sz w:val="20"/>
          <w:szCs w:val="20"/>
        </w:rPr>
        <w:t xml:space="preserve">related to </w:t>
      </w:r>
      <w:r>
        <w:rPr>
          <w:rFonts w:ascii="Arial" w:hAnsi="Arial" w:cs="Arial"/>
          <w:spacing w:val="-2"/>
          <w:sz w:val="20"/>
          <w:szCs w:val="20"/>
        </w:rPr>
        <w:t xml:space="preserve">terminal </w:t>
      </w:r>
      <w:r w:rsidRPr="00F43B7C">
        <w:rPr>
          <w:rFonts w:ascii="Arial" w:hAnsi="Arial" w:cs="Arial"/>
          <w:spacing w:val="-2"/>
          <w:sz w:val="20"/>
          <w:szCs w:val="20"/>
        </w:rPr>
        <w:t>services</w:t>
      </w:r>
      <w:r>
        <w:rPr>
          <w:rFonts w:ascii="Arial" w:hAnsi="Arial" w:cs="Arial"/>
          <w:spacing w:val="-2"/>
          <w:sz w:val="20"/>
          <w:szCs w:val="20"/>
        </w:rPr>
        <w:t xml:space="preserve">. </w:t>
      </w:r>
      <w:r>
        <w:rPr>
          <w:rFonts w:ascii="Arial" w:hAnsi="Arial" w:cs="Arial"/>
          <w:sz w:val="20"/>
          <w:szCs w:val="20"/>
        </w:rPr>
        <w:t xml:space="preserve">The MET costs are included in the total cost stemming from the supplier of ANS, </w:t>
      </w:r>
      <w:proofErr w:type="spellStart"/>
      <w:r>
        <w:rPr>
          <w:rFonts w:ascii="Arial" w:hAnsi="Arial" w:cs="Arial"/>
          <w:sz w:val="20"/>
          <w:szCs w:val="20"/>
        </w:rPr>
        <w:t>Avinor</w:t>
      </w:r>
      <w:proofErr w:type="spellEnd"/>
      <w:r>
        <w:rPr>
          <w:rFonts w:ascii="Arial" w:hAnsi="Arial" w:cs="Arial"/>
          <w:sz w:val="20"/>
          <w:szCs w:val="20"/>
        </w:rPr>
        <w:t xml:space="preserve"> </w:t>
      </w:r>
      <w:proofErr w:type="spellStart"/>
      <w:r w:rsidR="00C94241">
        <w:rPr>
          <w:rFonts w:ascii="Arial" w:hAnsi="Arial" w:cs="Arial"/>
          <w:sz w:val="20"/>
          <w:szCs w:val="20"/>
        </w:rPr>
        <w:t>Flysikring</w:t>
      </w:r>
      <w:proofErr w:type="spellEnd"/>
      <w:r w:rsidR="00C94241">
        <w:rPr>
          <w:rFonts w:ascii="Arial" w:hAnsi="Arial" w:cs="Arial"/>
          <w:sz w:val="20"/>
          <w:szCs w:val="20"/>
        </w:rPr>
        <w:t xml:space="preserve"> AS (</w:t>
      </w:r>
      <w:r w:rsidR="009D005F">
        <w:rPr>
          <w:rFonts w:ascii="Arial" w:hAnsi="Arial" w:cs="Arial"/>
          <w:sz w:val="20"/>
          <w:szCs w:val="20"/>
        </w:rPr>
        <w:t>ANS</w:t>
      </w:r>
      <w:r w:rsidR="00C94241">
        <w:rPr>
          <w:rFonts w:ascii="Arial" w:hAnsi="Arial" w:cs="Arial"/>
          <w:sz w:val="20"/>
          <w:szCs w:val="20"/>
        </w:rPr>
        <w:t>)</w:t>
      </w:r>
      <w:r>
        <w:rPr>
          <w:rFonts w:ascii="Arial" w:hAnsi="Arial" w:cs="Arial"/>
          <w:sz w:val="20"/>
          <w:szCs w:val="20"/>
        </w:rPr>
        <w:t xml:space="preserve">. </w:t>
      </w:r>
    </w:p>
    <w:p w14:paraId="3501AE6B" w14:textId="75073AB0" w:rsidR="00D35ED1" w:rsidRPr="00E57288" w:rsidRDefault="00D35ED1" w:rsidP="00D35ED1">
      <w:pPr>
        <w:pStyle w:val="Default"/>
        <w:jc w:val="both"/>
        <w:rPr>
          <w:rFonts w:ascii="Arial" w:hAnsi="Arial" w:cs="Arial"/>
          <w:color w:val="17365D"/>
          <w:sz w:val="20"/>
          <w:szCs w:val="20"/>
        </w:rPr>
      </w:pPr>
    </w:p>
    <w:p w14:paraId="6A33A438" w14:textId="56E5E757" w:rsidR="00F4345C" w:rsidRDefault="00F4345C">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7D25671D" w14:textId="77777777" w:rsidTr="00F4345C">
        <w:tc>
          <w:tcPr>
            <w:tcW w:w="9060" w:type="dxa"/>
            <w:shd w:val="clear" w:color="auto" w:fill="C6D9F1"/>
          </w:tcPr>
          <w:p w14:paraId="5A2FF70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lastRenderedPageBreak/>
              <w:t>f</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composition of each item of the determined costs by nature and by service (points 1 and 2 of Table 1), including a description of the main factors explaining the planned variations over the reference period;</w:t>
            </w:r>
          </w:p>
        </w:tc>
      </w:tr>
    </w:tbl>
    <w:p w14:paraId="1EF1C8FC" w14:textId="77777777" w:rsidR="00AA08CC" w:rsidRDefault="00AA08CC" w:rsidP="00AA08CC">
      <w:pPr>
        <w:pStyle w:val="Default"/>
        <w:jc w:val="both"/>
        <w:rPr>
          <w:rFonts w:ascii="Arial" w:hAnsi="Arial" w:cs="Arial"/>
          <w:color w:val="17365D"/>
          <w:sz w:val="20"/>
          <w:szCs w:val="20"/>
        </w:rPr>
      </w:pPr>
    </w:p>
    <w:p w14:paraId="3CB8325B" w14:textId="0309A7FF" w:rsidR="00AA08CC" w:rsidRDefault="002778DF" w:rsidP="00352E4E">
      <w:pPr>
        <w:jc w:val="center"/>
        <w:rPr>
          <w:b/>
          <w:i/>
          <w:lang w:eastAsia="de-DE"/>
        </w:rPr>
      </w:pPr>
      <w:r w:rsidRPr="002778DF">
        <w:rPr>
          <w:b/>
          <w:i/>
          <w:lang w:eastAsia="de-DE"/>
        </w:rPr>
        <w:t>Determined costs by nature and by service</w:t>
      </w:r>
    </w:p>
    <w:p w14:paraId="247E9C15" w14:textId="28369F2F" w:rsidR="00B9204B" w:rsidRDefault="00B9204B" w:rsidP="00352E4E">
      <w:pPr>
        <w:jc w:val="center"/>
        <w:rPr>
          <w:b/>
          <w:i/>
          <w:lang w:eastAsia="de-DE"/>
        </w:rPr>
      </w:pPr>
    </w:p>
    <w:p w14:paraId="6A376852" w14:textId="77777777" w:rsidR="00B9204B" w:rsidRPr="002778DF" w:rsidRDefault="00B9204B" w:rsidP="00B9204B">
      <w:pPr>
        <w:jc w:val="center"/>
        <w:rPr>
          <w:b/>
          <w:i/>
          <w:lang w:eastAsia="de-DE"/>
        </w:rPr>
      </w:pPr>
      <w:r w:rsidRPr="002778DF">
        <w:rPr>
          <w:b/>
          <w:i/>
          <w:lang w:eastAsia="de-DE"/>
        </w:rPr>
        <w:t>Determined costs by nature and by service</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B9204B" w:rsidRPr="006C2F02" w14:paraId="146DC967" w14:textId="77777777" w:rsidTr="00BF7D94">
        <w:trPr>
          <w:trHeight w:val="230"/>
        </w:trPr>
        <w:tc>
          <w:tcPr>
            <w:tcW w:w="9322" w:type="dxa"/>
            <w:gridSpan w:val="2"/>
            <w:shd w:val="clear" w:color="auto" w:fill="auto"/>
          </w:tcPr>
          <w:p w14:paraId="6AA9F01F" w14:textId="4ED85CA4" w:rsidR="00B9204B" w:rsidRPr="006C2F02" w:rsidRDefault="00B9204B" w:rsidP="00BF7D94">
            <w:pPr>
              <w:pStyle w:val="Default"/>
              <w:jc w:val="center"/>
              <w:rPr>
                <w:b/>
                <w:color w:val="auto"/>
                <w:sz w:val="18"/>
                <w:szCs w:val="18"/>
              </w:rPr>
            </w:pPr>
            <w:r>
              <w:rPr>
                <w:b/>
                <w:color w:val="auto"/>
                <w:sz w:val="18"/>
                <w:szCs w:val="18"/>
              </w:rPr>
              <w:t>Entity</w:t>
            </w:r>
            <w:r w:rsidRPr="003B2141">
              <w:rPr>
                <w:b/>
                <w:color w:val="auto"/>
                <w:sz w:val="18"/>
                <w:szCs w:val="18"/>
              </w:rPr>
              <w:t>:</w:t>
            </w:r>
            <w:r w:rsidRPr="003B2141">
              <w:rPr>
                <w:b/>
                <w:color w:val="0070C0"/>
                <w:sz w:val="18"/>
                <w:szCs w:val="18"/>
              </w:rPr>
              <w:t xml:space="preserve"> </w:t>
            </w:r>
            <w:proofErr w:type="spellStart"/>
            <w:r w:rsidRPr="003B2141">
              <w:rPr>
                <w:b/>
                <w:color w:val="0070C0"/>
                <w:sz w:val="18"/>
                <w:szCs w:val="18"/>
              </w:rPr>
              <w:t>Avinor</w:t>
            </w:r>
            <w:proofErr w:type="spellEnd"/>
            <w:r w:rsidRPr="003B2141">
              <w:rPr>
                <w:b/>
                <w:color w:val="0070C0"/>
                <w:sz w:val="18"/>
                <w:szCs w:val="18"/>
              </w:rPr>
              <w:t xml:space="preserve"> A</w:t>
            </w:r>
            <w:r>
              <w:rPr>
                <w:b/>
                <w:color w:val="0070C0"/>
                <w:sz w:val="18"/>
                <w:szCs w:val="18"/>
              </w:rPr>
              <w:t>S</w:t>
            </w:r>
          </w:p>
        </w:tc>
      </w:tr>
      <w:tr w:rsidR="00B9204B" w:rsidRPr="006C2F02" w14:paraId="332A69E9" w14:textId="77777777" w:rsidTr="00BF7D94">
        <w:trPr>
          <w:trHeight w:val="210"/>
        </w:trPr>
        <w:tc>
          <w:tcPr>
            <w:tcW w:w="9322" w:type="dxa"/>
            <w:gridSpan w:val="2"/>
            <w:shd w:val="clear" w:color="auto" w:fill="auto"/>
          </w:tcPr>
          <w:p w14:paraId="52D43CB9" w14:textId="77777777" w:rsidR="00B9204B" w:rsidRPr="001415EC" w:rsidRDefault="00B9204B" w:rsidP="00BF7D94">
            <w:pPr>
              <w:spacing w:before="0" w:after="0"/>
              <w:jc w:val="left"/>
              <w:rPr>
                <w:rFonts w:ascii="Calibri" w:hAnsi="Calibri" w:cs="Calibri"/>
                <w:b/>
                <w:bCs/>
                <w:sz w:val="18"/>
                <w:szCs w:val="18"/>
              </w:rPr>
            </w:pPr>
            <w:r w:rsidRPr="001415EC">
              <w:rPr>
                <w:rFonts w:ascii="Calibri" w:hAnsi="Calibri" w:cs="Calibri"/>
                <w:b/>
                <w:bCs/>
                <w:sz w:val="18"/>
                <w:szCs w:val="18"/>
              </w:rPr>
              <w:t xml:space="preserve">1.     Detail by nature (in nominal terms) </w:t>
            </w:r>
            <w:r w:rsidRPr="001415EC">
              <w:rPr>
                <w:rFonts w:ascii="Calibri" w:hAnsi="Calibri" w:cs="Calibri"/>
                <w:bCs/>
                <w:sz w:val="18"/>
                <w:szCs w:val="18"/>
              </w:rPr>
              <w:t>Ref. ANNEX B. REPORTING TABLES (TERMINAL)</w:t>
            </w:r>
          </w:p>
        </w:tc>
      </w:tr>
      <w:tr w:rsidR="009C5EDB" w:rsidRPr="003248BC" w14:paraId="5E037C54" w14:textId="77777777" w:rsidTr="00BF7D94">
        <w:tc>
          <w:tcPr>
            <w:tcW w:w="2269" w:type="dxa"/>
            <w:shd w:val="clear" w:color="auto" w:fill="auto"/>
          </w:tcPr>
          <w:p w14:paraId="7D2DEE47" w14:textId="77777777" w:rsidR="009C5EDB" w:rsidRPr="00530139" w:rsidRDefault="009C5EDB" w:rsidP="009C5EDB">
            <w:pPr>
              <w:pStyle w:val="Default"/>
              <w:jc w:val="both"/>
              <w:rPr>
                <w:rFonts w:cs="Arial"/>
                <w:color w:val="auto"/>
                <w:sz w:val="18"/>
                <w:szCs w:val="18"/>
              </w:rPr>
            </w:pPr>
            <w:r w:rsidRPr="00530139">
              <w:rPr>
                <w:rFonts w:cs="Arial"/>
                <w:color w:val="auto"/>
                <w:sz w:val="18"/>
                <w:szCs w:val="18"/>
              </w:rPr>
              <w:t>1.1 Staff costs</w:t>
            </w:r>
          </w:p>
        </w:tc>
        <w:tc>
          <w:tcPr>
            <w:tcW w:w="7053" w:type="dxa"/>
            <w:shd w:val="clear" w:color="auto" w:fill="auto"/>
          </w:tcPr>
          <w:p w14:paraId="36C02D17" w14:textId="7FC58AFC" w:rsidR="009C5EDB" w:rsidRPr="009D0A33" w:rsidRDefault="009C5EDB" w:rsidP="009C5EDB">
            <w:pPr>
              <w:rPr>
                <w:rFonts w:ascii="Calibri" w:eastAsia="Calibri" w:hAnsi="Calibri" w:cs="Arial"/>
                <w:sz w:val="18"/>
                <w:szCs w:val="18"/>
              </w:rPr>
            </w:pPr>
            <w:r w:rsidRPr="009D0A33">
              <w:rPr>
                <w:rFonts w:ascii="Calibri" w:eastAsia="Calibri" w:hAnsi="Calibri" w:cs="Arial"/>
                <w:sz w:val="18"/>
                <w:szCs w:val="18"/>
              </w:rPr>
              <w:t xml:space="preserve">Even though traffic levels have been higher in Norway than in many other European countries, due to the Norwegian dependence on national air traffic, the </w:t>
            </w:r>
            <w:r w:rsidR="00226AF4">
              <w:rPr>
                <w:rFonts w:ascii="Calibri" w:eastAsia="Calibri" w:hAnsi="Calibri" w:cs="Arial"/>
                <w:sz w:val="18"/>
                <w:szCs w:val="18"/>
              </w:rPr>
              <w:t>decrease</w:t>
            </w:r>
            <w:r w:rsidR="00226AF4" w:rsidRPr="009D0A33">
              <w:rPr>
                <w:rFonts w:ascii="Calibri" w:eastAsia="Calibri" w:hAnsi="Calibri" w:cs="Arial"/>
                <w:sz w:val="18"/>
                <w:szCs w:val="18"/>
              </w:rPr>
              <w:t xml:space="preserve"> </w:t>
            </w:r>
            <w:r w:rsidR="002C3EA1">
              <w:rPr>
                <w:rFonts w:ascii="Calibri" w:eastAsia="Calibri" w:hAnsi="Calibri" w:cs="Arial"/>
                <w:sz w:val="18"/>
                <w:szCs w:val="18"/>
              </w:rPr>
              <w:t>in traffic numbers from 2019</w:t>
            </w:r>
            <w:r w:rsidR="00977A44">
              <w:rPr>
                <w:rFonts w:ascii="Calibri" w:eastAsia="Calibri" w:hAnsi="Calibri" w:cs="Arial"/>
                <w:sz w:val="18"/>
                <w:szCs w:val="18"/>
              </w:rPr>
              <w:t xml:space="preserve"> </w:t>
            </w:r>
            <w:r w:rsidR="002C3EA1">
              <w:rPr>
                <w:rFonts w:ascii="Calibri" w:eastAsia="Calibri" w:hAnsi="Calibri" w:cs="Arial"/>
                <w:sz w:val="18"/>
                <w:szCs w:val="18"/>
              </w:rPr>
              <w:t>to</w:t>
            </w:r>
            <w:r w:rsidR="00977A44">
              <w:rPr>
                <w:rFonts w:ascii="Calibri" w:eastAsia="Calibri" w:hAnsi="Calibri" w:cs="Arial"/>
                <w:sz w:val="18"/>
                <w:szCs w:val="18"/>
              </w:rPr>
              <w:t xml:space="preserve"> </w:t>
            </w:r>
            <w:r w:rsidRPr="009D0A33">
              <w:rPr>
                <w:rFonts w:ascii="Calibri" w:eastAsia="Calibri" w:hAnsi="Calibri" w:cs="Arial"/>
                <w:sz w:val="18"/>
                <w:szCs w:val="18"/>
              </w:rPr>
              <w:t>2020</w:t>
            </w:r>
            <w:r w:rsidR="00977A44">
              <w:rPr>
                <w:rFonts w:ascii="Calibri" w:eastAsia="Calibri" w:hAnsi="Calibri" w:cs="Arial"/>
                <w:sz w:val="18"/>
                <w:szCs w:val="18"/>
              </w:rPr>
              <w:t xml:space="preserve"> </w:t>
            </w:r>
            <w:r w:rsidRPr="009D0A33">
              <w:rPr>
                <w:rFonts w:ascii="Calibri" w:eastAsia="Calibri" w:hAnsi="Calibri" w:cs="Arial"/>
                <w:sz w:val="18"/>
                <w:szCs w:val="18"/>
              </w:rPr>
              <w:t>was</w:t>
            </w:r>
            <w:r w:rsidR="00977A44">
              <w:rPr>
                <w:rFonts w:ascii="Calibri" w:eastAsia="Calibri" w:hAnsi="Calibri" w:cs="Arial"/>
                <w:sz w:val="18"/>
                <w:szCs w:val="18"/>
              </w:rPr>
              <w:t xml:space="preserve"> </w:t>
            </w:r>
            <w:r w:rsidRPr="009D0A33">
              <w:rPr>
                <w:rFonts w:ascii="Calibri" w:eastAsia="Calibri" w:hAnsi="Calibri" w:cs="Arial"/>
                <w:sz w:val="18"/>
                <w:szCs w:val="18"/>
              </w:rPr>
              <w:t>4</w:t>
            </w:r>
            <w:r>
              <w:rPr>
                <w:rFonts w:ascii="Calibri" w:eastAsia="Calibri" w:hAnsi="Calibri" w:cs="Arial"/>
                <w:sz w:val="18"/>
                <w:szCs w:val="18"/>
              </w:rPr>
              <w:t>7,5</w:t>
            </w:r>
            <w:r w:rsidRPr="009D0A33">
              <w:rPr>
                <w:rFonts w:ascii="Calibri" w:eastAsia="Calibri" w:hAnsi="Calibri" w:cs="Arial"/>
                <w:sz w:val="18"/>
                <w:szCs w:val="18"/>
              </w:rPr>
              <w:t>%</w:t>
            </w:r>
            <w:r>
              <w:rPr>
                <w:rFonts w:ascii="Calibri" w:eastAsia="Calibri" w:hAnsi="Calibri" w:cs="Arial"/>
                <w:sz w:val="18"/>
                <w:szCs w:val="18"/>
              </w:rPr>
              <w:t xml:space="preserve">. </w:t>
            </w:r>
            <w:r w:rsidRPr="009D0A33">
              <w:rPr>
                <w:rFonts w:ascii="Calibri" w:eastAsia="Calibri" w:hAnsi="Calibri" w:cs="Arial"/>
                <w:sz w:val="18"/>
                <w:szCs w:val="18"/>
              </w:rPr>
              <w:t xml:space="preserve">Stringent restrictions on international travel have however led to almost an absence of international flights to and from Norway during large parts of 2020 and 2021. </w:t>
            </w:r>
          </w:p>
          <w:p w14:paraId="6D4D00FC" w14:textId="31C149D0" w:rsidR="009C5EDB" w:rsidRPr="009D0A33" w:rsidRDefault="009C5EDB" w:rsidP="009C5EDB">
            <w:pPr>
              <w:rPr>
                <w:rFonts w:ascii="Calibri" w:eastAsia="Calibri" w:hAnsi="Calibri" w:cs="Arial"/>
                <w:sz w:val="18"/>
                <w:szCs w:val="18"/>
              </w:rPr>
            </w:pPr>
            <w:r w:rsidRPr="009D0A33">
              <w:rPr>
                <w:rFonts w:ascii="Calibri" w:eastAsia="Calibri" w:hAnsi="Calibri" w:cs="Arial"/>
                <w:sz w:val="18"/>
                <w:szCs w:val="18"/>
              </w:rPr>
              <w:t xml:space="preserve">The Norwegian government has implemented </w:t>
            </w:r>
            <w:proofErr w:type="gramStart"/>
            <w:r w:rsidRPr="009D0A33">
              <w:rPr>
                <w:rFonts w:ascii="Calibri" w:eastAsia="Calibri" w:hAnsi="Calibri" w:cs="Arial"/>
                <w:sz w:val="18"/>
                <w:szCs w:val="18"/>
              </w:rPr>
              <w:t>a number of</w:t>
            </w:r>
            <w:proofErr w:type="gramEnd"/>
            <w:r w:rsidRPr="009D0A33">
              <w:rPr>
                <w:rFonts w:ascii="Calibri" w:eastAsia="Calibri" w:hAnsi="Calibri" w:cs="Arial"/>
                <w:sz w:val="18"/>
                <w:szCs w:val="18"/>
              </w:rPr>
              <w:t xml:space="preserve"> measures to help businesses hard hit by the pandemic.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AS</w:t>
            </w:r>
            <w:r>
              <w:rPr>
                <w:rFonts w:ascii="Calibri" w:eastAsia="Calibri" w:hAnsi="Calibri" w:cs="Arial"/>
                <w:sz w:val="18"/>
                <w:szCs w:val="18"/>
              </w:rPr>
              <w:t xml:space="preserve"> </w:t>
            </w:r>
            <w:r w:rsidRPr="009D0A33">
              <w:rPr>
                <w:rFonts w:ascii="Calibri" w:eastAsia="Calibri" w:hAnsi="Calibri" w:cs="Arial"/>
                <w:sz w:val="18"/>
                <w:szCs w:val="18"/>
              </w:rPr>
              <w:t>has received financial support from its owner (</w:t>
            </w:r>
            <w:r w:rsidR="00684AAF">
              <w:rPr>
                <w:rFonts w:ascii="Calibri" w:eastAsia="Calibri" w:hAnsi="Calibri" w:cs="Arial"/>
                <w:sz w:val="18"/>
                <w:szCs w:val="18"/>
              </w:rPr>
              <w:t>t</w:t>
            </w:r>
            <w:r w:rsidRPr="009D0A33">
              <w:rPr>
                <w:rFonts w:ascii="Calibri" w:eastAsia="Calibri" w:hAnsi="Calibri" w:cs="Arial"/>
                <w:sz w:val="18"/>
                <w:szCs w:val="18"/>
              </w:rPr>
              <w:t xml:space="preserve">he Norwegian </w:t>
            </w:r>
            <w:r w:rsidR="002C3EA1" w:rsidRPr="002C3EA1">
              <w:rPr>
                <w:rFonts w:ascii="Calibri" w:eastAsia="Calibri" w:hAnsi="Calibri" w:cs="Arial"/>
                <w:sz w:val="18"/>
                <w:szCs w:val="18"/>
              </w:rPr>
              <w:t>Ministry of Transport</w:t>
            </w:r>
            <w:r w:rsidRPr="009D0A33">
              <w:rPr>
                <w:rFonts w:ascii="Calibri" w:eastAsia="Calibri" w:hAnsi="Calibri" w:cs="Arial"/>
                <w:sz w:val="18"/>
                <w:szCs w:val="18"/>
              </w:rPr>
              <w:t xml:space="preserve">) in 2020. There is an ongoing dialogue between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and the Ministry </w:t>
            </w:r>
            <w:r>
              <w:rPr>
                <w:rFonts w:ascii="Calibri" w:eastAsia="Calibri" w:hAnsi="Calibri" w:cs="Arial"/>
                <w:sz w:val="18"/>
                <w:szCs w:val="18"/>
              </w:rPr>
              <w:t xml:space="preserve">of Transport </w:t>
            </w:r>
            <w:r w:rsidRPr="009D0A33">
              <w:rPr>
                <w:rFonts w:ascii="Calibri" w:eastAsia="Calibri" w:hAnsi="Calibri" w:cs="Arial"/>
                <w:sz w:val="18"/>
                <w:szCs w:val="18"/>
              </w:rPr>
              <w:t xml:space="preserve">to decide on the impact of this support on the level of the charges in 2023 onwards.  </w:t>
            </w:r>
          </w:p>
          <w:p w14:paraId="3AC977BE" w14:textId="30B77275" w:rsidR="009C5EDB" w:rsidRPr="00734558" w:rsidRDefault="009C5EDB" w:rsidP="009C5EDB">
            <w:pPr>
              <w:spacing w:line="276" w:lineRule="auto"/>
              <w:rPr>
                <w:rFonts w:cs="Arial"/>
                <w:sz w:val="18"/>
                <w:szCs w:val="18"/>
              </w:rPr>
            </w:pPr>
            <w:r w:rsidRPr="009D0A33">
              <w:rPr>
                <w:rFonts w:ascii="Calibri" w:eastAsia="Calibri" w:hAnsi="Calibri" w:cs="Arial"/>
                <w:sz w:val="18"/>
                <w:szCs w:val="18"/>
              </w:rPr>
              <w:t>The</w:t>
            </w:r>
            <w:r w:rsidR="009D005F">
              <w:rPr>
                <w:rFonts w:ascii="Calibri" w:eastAsia="Calibri" w:hAnsi="Calibri" w:cs="Arial"/>
                <w:sz w:val="18"/>
                <w:szCs w:val="18"/>
              </w:rPr>
              <w:t xml:space="preserve"> service provider reports that</w:t>
            </w:r>
            <w:r w:rsidRPr="009D0A33">
              <w:rPr>
                <w:rFonts w:ascii="Calibri" w:eastAsia="Calibri" w:hAnsi="Calibri" w:cs="Arial"/>
                <w:sz w:val="18"/>
                <w:szCs w:val="18"/>
              </w:rPr>
              <w:t xml:space="preserve"> cost development in the medium and longer term will be driven by the gradual return to normal traffic volumes. </w:t>
            </w:r>
            <w:proofErr w:type="gramStart"/>
            <w:r w:rsidRPr="009D0A33">
              <w:rPr>
                <w:rFonts w:ascii="Calibri" w:eastAsia="Calibri" w:hAnsi="Calibri" w:cs="Arial"/>
                <w:sz w:val="18"/>
                <w:szCs w:val="18"/>
              </w:rPr>
              <w:t>A number of</w:t>
            </w:r>
            <w:proofErr w:type="gramEnd"/>
            <w:r w:rsidRPr="009D0A33">
              <w:rPr>
                <w:rFonts w:ascii="Calibri" w:eastAsia="Calibri" w:hAnsi="Calibri" w:cs="Arial"/>
                <w:sz w:val="18"/>
                <w:szCs w:val="18"/>
              </w:rPr>
              <w:t xml:space="preserve"> cost containment measures are established and followed up through a cost containment programme. The traffic situation is continuously monitored, and all measures are balanced against the capacity to meet the expected increase in </w:t>
            </w:r>
            <w:r w:rsidR="00226AF4" w:rsidRPr="009D0A33">
              <w:rPr>
                <w:rFonts w:ascii="Calibri" w:eastAsia="Calibri" w:hAnsi="Calibri" w:cs="Arial"/>
                <w:sz w:val="18"/>
                <w:szCs w:val="18"/>
              </w:rPr>
              <w:t xml:space="preserve">traffic </w:t>
            </w:r>
            <w:r w:rsidR="00226AF4">
              <w:rPr>
                <w:rFonts w:ascii="Calibri" w:eastAsia="Calibri" w:hAnsi="Calibri" w:cs="Arial"/>
                <w:sz w:val="18"/>
                <w:szCs w:val="18"/>
              </w:rPr>
              <w:t xml:space="preserve">for </w:t>
            </w:r>
            <w:r w:rsidRPr="009D0A33">
              <w:rPr>
                <w:rFonts w:ascii="Calibri" w:eastAsia="Calibri" w:hAnsi="Calibri" w:cs="Arial"/>
                <w:sz w:val="18"/>
                <w:szCs w:val="18"/>
              </w:rPr>
              <w:t>the coming months</w:t>
            </w:r>
            <w:r w:rsidR="007926C2">
              <w:rPr>
                <w:rFonts w:ascii="Calibri" w:eastAsia="Calibri" w:hAnsi="Calibri" w:cs="Arial"/>
                <w:sz w:val="18"/>
                <w:szCs w:val="18"/>
              </w:rPr>
              <w:t xml:space="preserve"> and </w:t>
            </w:r>
            <w:r w:rsidRPr="009D0A33">
              <w:rPr>
                <w:rFonts w:ascii="Calibri" w:eastAsia="Calibri" w:hAnsi="Calibri" w:cs="Arial"/>
                <w:sz w:val="18"/>
                <w:szCs w:val="18"/>
              </w:rPr>
              <w:t xml:space="preserve">years. </w:t>
            </w:r>
          </w:p>
        </w:tc>
      </w:tr>
      <w:tr w:rsidR="009C5EDB" w:rsidRPr="00CA2B9B" w14:paraId="38795978" w14:textId="77777777" w:rsidTr="00BF7D94">
        <w:tc>
          <w:tcPr>
            <w:tcW w:w="2269" w:type="dxa"/>
            <w:shd w:val="clear" w:color="auto" w:fill="auto"/>
          </w:tcPr>
          <w:p w14:paraId="46C58738" w14:textId="77777777" w:rsidR="009C5EDB" w:rsidRPr="009A19BC" w:rsidRDefault="009C5EDB" w:rsidP="009C5EDB">
            <w:pPr>
              <w:pStyle w:val="Default"/>
              <w:jc w:val="both"/>
              <w:rPr>
                <w:bCs/>
                <w:color w:val="auto"/>
                <w:sz w:val="18"/>
                <w:szCs w:val="18"/>
              </w:rPr>
            </w:pPr>
            <w:r w:rsidRPr="004D38CC">
              <w:rPr>
                <w:bCs/>
                <w:color w:val="auto"/>
                <w:sz w:val="18"/>
                <w:szCs w:val="18"/>
                <w:lang w:val="en-US"/>
              </w:rPr>
              <w:t xml:space="preserve">    </w:t>
            </w:r>
            <w:r w:rsidRPr="00C93E84">
              <w:rPr>
                <w:bCs/>
                <w:color w:val="auto"/>
                <w:sz w:val="18"/>
                <w:szCs w:val="18"/>
              </w:rPr>
              <w:t>of which, pension costs</w:t>
            </w:r>
          </w:p>
        </w:tc>
        <w:tc>
          <w:tcPr>
            <w:tcW w:w="7053" w:type="dxa"/>
            <w:shd w:val="clear" w:color="auto" w:fill="auto"/>
          </w:tcPr>
          <w:p w14:paraId="5B9DCE77" w14:textId="581044D5" w:rsidR="009C5EDB" w:rsidRDefault="009C5EDB" w:rsidP="009C5EDB">
            <w:pPr>
              <w:pStyle w:val="Default"/>
              <w:rPr>
                <w:bCs/>
                <w:iCs/>
                <w:color w:val="auto"/>
                <w:sz w:val="18"/>
                <w:szCs w:val="18"/>
                <w:lang w:val="en-US"/>
              </w:rPr>
            </w:pPr>
            <w:r w:rsidRPr="00230EF5">
              <w:rPr>
                <w:bCs/>
                <w:iCs/>
                <w:color w:val="auto"/>
                <w:sz w:val="18"/>
                <w:szCs w:val="18"/>
                <w:lang w:val="en-US"/>
              </w:rPr>
              <w:t xml:space="preserve">Pension costs are included in the total basis for staff costs, and almost all staff </w:t>
            </w:r>
            <w:r w:rsidR="003E7093">
              <w:rPr>
                <w:bCs/>
                <w:iCs/>
                <w:color w:val="auto"/>
                <w:sz w:val="18"/>
                <w:szCs w:val="18"/>
                <w:lang w:val="en-US"/>
              </w:rPr>
              <w:t>and pension costs</w:t>
            </w:r>
            <w:r w:rsidR="003E7093" w:rsidRPr="00230EF5">
              <w:rPr>
                <w:bCs/>
                <w:iCs/>
                <w:color w:val="auto"/>
                <w:sz w:val="18"/>
                <w:szCs w:val="18"/>
                <w:lang w:val="en-US"/>
              </w:rPr>
              <w:t xml:space="preserve"> </w:t>
            </w:r>
            <w:r w:rsidRPr="00230EF5">
              <w:rPr>
                <w:bCs/>
                <w:iCs/>
                <w:color w:val="auto"/>
                <w:sz w:val="18"/>
                <w:szCs w:val="18"/>
                <w:lang w:val="en-US"/>
              </w:rPr>
              <w:t xml:space="preserve">originate from </w:t>
            </w:r>
            <w:proofErr w:type="spellStart"/>
            <w:r w:rsidRPr="00230EF5">
              <w:rPr>
                <w:bCs/>
                <w:iCs/>
                <w:color w:val="auto"/>
                <w:sz w:val="18"/>
                <w:szCs w:val="18"/>
                <w:lang w:val="en-US"/>
              </w:rPr>
              <w:t>Avinor</w:t>
            </w:r>
            <w:proofErr w:type="spellEnd"/>
            <w:r w:rsidRPr="00230EF5">
              <w:rPr>
                <w:bCs/>
                <w:iCs/>
                <w:color w:val="auto"/>
                <w:sz w:val="18"/>
                <w:szCs w:val="18"/>
                <w:lang w:val="en-US"/>
              </w:rPr>
              <w:t xml:space="preserve"> ANS.</w:t>
            </w:r>
          </w:p>
          <w:p w14:paraId="032D7553" w14:textId="77777777" w:rsidR="00735524" w:rsidRDefault="00735524" w:rsidP="009C5EDB">
            <w:pPr>
              <w:pStyle w:val="Default"/>
              <w:rPr>
                <w:bCs/>
                <w:iCs/>
                <w:color w:val="auto"/>
                <w:sz w:val="18"/>
                <w:szCs w:val="18"/>
                <w:lang w:val="en-US"/>
              </w:rPr>
            </w:pPr>
          </w:p>
          <w:tbl>
            <w:tblPr>
              <w:tblW w:w="0" w:type="auto"/>
              <w:tblCellMar>
                <w:left w:w="70" w:type="dxa"/>
                <w:right w:w="70" w:type="dxa"/>
              </w:tblCellMar>
              <w:tblLook w:val="04A0" w:firstRow="1" w:lastRow="0" w:firstColumn="1" w:lastColumn="0" w:noHBand="0" w:noVBand="1"/>
            </w:tblPr>
            <w:tblGrid>
              <w:gridCol w:w="1342"/>
              <w:gridCol w:w="582"/>
              <w:gridCol w:w="582"/>
              <w:gridCol w:w="582"/>
              <w:gridCol w:w="582"/>
              <w:gridCol w:w="582"/>
            </w:tblGrid>
            <w:tr w:rsidR="00735524" w:rsidRPr="008C36B0" w14:paraId="773374AD" w14:textId="77777777" w:rsidTr="001356B8">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645D8C" w14:textId="77777777" w:rsidR="00735524" w:rsidRPr="008C36B0" w:rsidRDefault="00735524" w:rsidP="00735524">
                  <w:pPr>
                    <w:spacing w:before="0" w:after="0"/>
                    <w:jc w:val="left"/>
                    <w:rPr>
                      <w:rFonts w:ascii="Calibri" w:hAnsi="Calibri" w:cs="Calibri"/>
                      <w:color w:val="000000"/>
                      <w:sz w:val="16"/>
                      <w:szCs w:val="16"/>
                      <w:lang w:val="nb-NO" w:eastAsia="nb-NO"/>
                    </w:rPr>
                  </w:pPr>
                  <w:r>
                    <w:rPr>
                      <w:rFonts w:ascii="Calibri" w:hAnsi="Calibri" w:cs="Calibri"/>
                      <w:color w:val="000000"/>
                      <w:sz w:val="16"/>
                      <w:szCs w:val="16"/>
                      <w:lang w:val="nb-NO" w:eastAsia="nb-NO"/>
                    </w:rPr>
                    <w:t xml:space="preserve">In </w:t>
                  </w:r>
                  <w:r w:rsidRPr="00116DAB">
                    <w:rPr>
                      <w:rFonts w:ascii="Calibri" w:hAnsi="Calibri" w:cs="Calibri"/>
                      <w:color w:val="000000"/>
                      <w:sz w:val="16"/>
                      <w:szCs w:val="16"/>
                      <w:lang w:val="nb-NO" w:eastAsia="nb-NO"/>
                    </w:rPr>
                    <w:t>‘000 NOK (</w:t>
                  </w:r>
                  <w:proofErr w:type="spellStart"/>
                  <w:r w:rsidRPr="00116DAB">
                    <w:rPr>
                      <w:rFonts w:ascii="Calibri" w:hAnsi="Calibri" w:cs="Calibri"/>
                      <w:color w:val="000000"/>
                      <w:sz w:val="16"/>
                      <w:szCs w:val="16"/>
                      <w:lang w:val="nb-NO" w:eastAsia="nb-NO"/>
                    </w:rPr>
                    <w:t>nom</w:t>
                  </w:r>
                  <w:proofErr w:type="spellEnd"/>
                  <w:r w:rsidRPr="00116DAB">
                    <w:rPr>
                      <w:rFonts w:ascii="Calibri" w:hAnsi="Calibri" w:cs="Calibri"/>
                      <w:color w:val="000000"/>
                      <w:sz w:val="16"/>
                      <w:szCs w:val="16"/>
                      <w:lang w:val="nb-NO" w:eastAsia="nb-NO"/>
                    </w:rPr>
                    <w:t>)</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865CFFA" w14:textId="77777777" w:rsidR="00735524" w:rsidRPr="008C36B0" w:rsidRDefault="00735524" w:rsidP="00735524">
                  <w:pPr>
                    <w:spacing w:before="0" w:after="0"/>
                    <w:jc w:val="center"/>
                    <w:rPr>
                      <w:rFonts w:ascii="Calibri" w:hAnsi="Calibri" w:cs="Calibri"/>
                      <w:b/>
                      <w:bCs/>
                      <w:color w:val="000000"/>
                      <w:sz w:val="16"/>
                      <w:szCs w:val="16"/>
                      <w:lang w:val="nb-NO" w:eastAsia="nb-NO"/>
                    </w:rPr>
                  </w:pPr>
                  <w:r w:rsidRPr="008C36B0">
                    <w:rPr>
                      <w:rFonts w:ascii="Calibri" w:hAnsi="Calibri" w:cs="Calibri"/>
                      <w:b/>
                      <w:bCs/>
                      <w:color w:val="000000"/>
                      <w:sz w:val="16"/>
                      <w:szCs w:val="16"/>
                      <w:lang w:val="nb-NO" w:eastAsia="nb-NO"/>
                    </w:rPr>
                    <w:t>2020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04E87713" w14:textId="77777777" w:rsidR="00735524" w:rsidRPr="008C36B0" w:rsidRDefault="00735524" w:rsidP="00735524">
                  <w:pPr>
                    <w:spacing w:before="0" w:after="0"/>
                    <w:jc w:val="center"/>
                    <w:rPr>
                      <w:rFonts w:ascii="Calibri" w:hAnsi="Calibri" w:cs="Calibri"/>
                      <w:b/>
                      <w:bCs/>
                      <w:color w:val="000000"/>
                      <w:sz w:val="16"/>
                      <w:szCs w:val="16"/>
                      <w:lang w:val="nb-NO" w:eastAsia="nb-NO"/>
                    </w:rPr>
                  </w:pPr>
                  <w:r w:rsidRPr="008C36B0">
                    <w:rPr>
                      <w:rFonts w:ascii="Calibri" w:hAnsi="Calibri" w:cs="Calibri"/>
                      <w:b/>
                      <w:bCs/>
                      <w:color w:val="000000"/>
                      <w:sz w:val="16"/>
                      <w:szCs w:val="16"/>
                      <w:lang w:val="nb-NO" w:eastAsia="nb-NO"/>
                    </w:rPr>
                    <w:t>2021</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52CD1CB" w14:textId="77777777" w:rsidR="00735524" w:rsidRPr="008C36B0" w:rsidRDefault="00735524" w:rsidP="00735524">
                  <w:pPr>
                    <w:spacing w:before="0" w:after="0"/>
                    <w:jc w:val="center"/>
                    <w:rPr>
                      <w:rFonts w:ascii="Calibri" w:hAnsi="Calibri" w:cs="Calibri"/>
                      <w:b/>
                      <w:bCs/>
                      <w:color w:val="000000"/>
                      <w:sz w:val="16"/>
                      <w:szCs w:val="16"/>
                      <w:lang w:val="nb-NO" w:eastAsia="nb-NO"/>
                    </w:rPr>
                  </w:pPr>
                  <w:r w:rsidRPr="008C36B0">
                    <w:rPr>
                      <w:rFonts w:ascii="Calibri" w:hAnsi="Calibri" w:cs="Calibri"/>
                      <w:b/>
                      <w:bCs/>
                      <w:color w:val="000000"/>
                      <w:sz w:val="16"/>
                      <w:szCs w:val="16"/>
                      <w:lang w:val="nb-NO" w:eastAsia="nb-NO"/>
                    </w:rPr>
                    <w:t>2022</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037933F0" w14:textId="77777777" w:rsidR="00735524" w:rsidRPr="008C36B0" w:rsidRDefault="00735524" w:rsidP="00735524">
                  <w:pPr>
                    <w:spacing w:before="0" w:after="0"/>
                    <w:jc w:val="center"/>
                    <w:rPr>
                      <w:rFonts w:ascii="Calibri" w:hAnsi="Calibri" w:cs="Calibri"/>
                      <w:b/>
                      <w:bCs/>
                      <w:color w:val="000000"/>
                      <w:sz w:val="16"/>
                      <w:szCs w:val="16"/>
                      <w:lang w:val="nb-NO" w:eastAsia="nb-NO"/>
                    </w:rPr>
                  </w:pPr>
                  <w:r w:rsidRPr="008C36B0">
                    <w:rPr>
                      <w:rFonts w:ascii="Calibri" w:hAnsi="Calibri" w:cs="Calibri"/>
                      <w:b/>
                      <w:bCs/>
                      <w:color w:val="000000"/>
                      <w:sz w:val="16"/>
                      <w:szCs w:val="16"/>
                      <w:lang w:val="nb-NO" w:eastAsia="nb-NO"/>
                    </w:rPr>
                    <w:t>2023</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BCA33D6" w14:textId="77777777" w:rsidR="00735524" w:rsidRPr="008C36B0" w:rsidRDefault="00735524" w:rsidP="00735524">
                  <w:pPr>
                    <w:spacing w:before="0" w:after="0"/>
                    <w:jc w:val="center"/>
                    <w:rPr>
                      <w:rFonts w:ascii="Calibri" w:hAnsi="Calibri" w:cs="Calibri"/>
                      <w:b/>
                      <w:bCs/>
                      <w:color w:val="000000"/>
                      <w:sz w:val="16"/>
                      <w:szCs w:val="16"/>
                      <w:lang w:val="nb-NO" w:eastAsia="nb-NO"/>
                    </w:rPr>
                  </w:pPr>
                  <w:r w:rsidRPr="008C36B0">
                    <w:rPr>
                      <w:rFonts w:ascii="Calibri" w:hAnsi="Calibri" w:cs="Calibri"/>
                      <w:b/>
                      <w:bCs/>
                      <w:color w:val="000000"/>
                      <w:sz w:val="16"/>
                      <w:szCs w:val="16"/>
                      <w:lang w:val="nb-NO" w:eastAsia="nb-NO"/>
                    </w:rPr>
                    <w:t>2024</w:t>
                  </w:r>
                </w:p>
              </w:tc>
            </w:tr>
            <w:tr w:rsidR="00735524" w:rsidRPr="008C36B0" w14:paraId="6F87FE49" w14:textId="77777777" w:rsidTr="001356B8">
              <w:trPr>
                <w:trHeight w:val="104"/>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C100C2F" w14:textId="77777777" w:rsidR="00735524" w:rsidRPr="008C36B0" w:rsidRDefault="00735524" w:rsidP="00735524">
                  <w:pPr>
                    <w:spacing w:before="0" w:after="0"/>
                    <w:jc w:val="lef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Avinor AS</w:t>
                  </w:r>
                </w:p>
              </w:tc>
              <w:tc>
                <w:tcPr>
                  <w:tcW w:w="0" w:type="auto"/>
                  <w:tcBorders>
                    <w:top w:val="nil"/>
                    <w:left w:val="nil"/>
                    <w:bottom w:val="single" w:sz="4" w:space="0" w:color="auto"/>
                    <w:right w:val="single" w:sz="4" w:space="0" w:color="auto"/>
                  </w:tcBorders>
                  <w:shd w:val="clear" w:color="auto" w:fill="auto"/>
                  <w:noWrap/>
                  <w:vAlign w:val="bottom"/>
                  <w:hideMark/>
                </w:tcPr>
                <w:p w14:paraId="5EB019F3"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3 923</w:t>
                  </w:r>
                </w:p>
              </w:tc>
              <w:tc>
                <w:tcPr>
                  <w:tcW w:w="0" w:type="auto"/>
                  <w:tcBorders>
                    <w:top w:val="nil"/>
                    <w:left w:val="nil"/>
                    <w:bottom w:val="single" w:sz="4" w:space="0" w:color="auto"/>
                    <w:right w:val="single" w:sz="4" w:space="0" w:color="auto"/>
                  </w:tcBorders>
                  <w:shd w:val="clear" w:color="auto" w:fill="auto"/>
                  <w:noWrap/>
                  <w:vAlign w:val="bottom"/>
                  <w:hideMark/>
                </w:tcPr>
                <w:p w14:paraId="24E065EE"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2 800</w:t>
                  </w:r>
                </w:p>
              </w:tc>
              <w:tc>
                <w:tcPr>
                  <w:tcW w:w="0" w:type="auto"/>
                  <w:tcBorders>
                    <w:top w:val="nil"/>
                    <w:left w:val="nil"/>
                    <w:bottom w:val="single" w:sz="4" w:space="0" w:color="auto"/>
                    <w:right w:val="single" w:sz="4" w:space="0" w:color="auto"/>
                  </w:tcBorders>
                  <w:shd w:val="clear" w:color="auto" w:fill="auto"/>
                  <w:noWrap/>
                  <w:vAlign w:val="bottom"/>
                  <w:hideMark/>
                </w:tcPr>
                <w:p w14:paraId="4FB32F74"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3 023</w:t>
                  </w:r>
                </w:p>
              </w:tc>
              <w:tc>
                <w:tcPr>
                  <w:tcW w:w="0" w:type="auto"/>
                  <w:tcBorders>
                    <w:top w:val="nil"/>
                    <w:left w:val="nil"/>
                    <w:bottom w:val="single" w:sz="4" w:space="0" w:color="auto"/>
                    <w:right w:val="single" w:sz="4" w:space="0" w:color="auto"/>
                  </w:tcBorders>
                  <w:shd w:val="clear" w:color="auto" w:fill="auto"/>
                  <w:noWrap/>
                  <w:vAlign w:val="bottom"/>
                  <w:hideMark/>
                </w:tcPr>
                <w:p w14:paraId="283066BC"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3 129</w:t>
                  </w:r>
                </w:p>
              </w:tc>
              <w:tc>
                <w:tcPr>
                  <w:tcW w:w="0" w:type="auto"/>
                  <w:tcBorders>
                    <w:top w:val="nil"/>
                    <w:left w:val="nil"/>
                    <w:bottom w:val="single" w:sz="4" w:space="0" w:color="auto"/>
                    <w:right w:val="single" w:sz="8" w:space="0" w:color="auto"/>
                  </w:tcBorders>
                  <w:shd w:val="clear" w:color="auto" w:fill="auto"/>
                  <w:noWrap/>
                  <w:vAlign w:val="bottom"/>
                  <w:hideMark/>
                </w:tcPr>
                <w:p w14:paraId="63E1FBDB"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3 154</w:t>
                  </w:r>
                </w:p>
              </w:tc>
            </w:tr>
            <w:tr w:rsidR="00735524" w:rsidRPr="008C36B0" w14:paraId="303562D9" w14:textId="77777777" w:rsidTr="001356B8">
              <w:trPr>
                <w:trHeight w:val="2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F332EC7" w14:textId="77777777" w:rsidR="00735524" w:rsidRPr="008C36B0" w:rsidRDefault="00735524" w:rsidP="00735524">
                  <w:pPr>
                    <w:spacing w:before="0" w:after="0"/>
                    <w:jc w:val="lef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Avinor ANS</w:t>
                  </w:r>
                </w:p>
              </w:tc>
              <w:tc>
                <w:tcPr>
                  <w:tcW w:w="0" w:type="auto"/>
                  <w:tcBorders>
                    <w:top w:val="nil"/>
                    <w:left w:val="nil"/>
                    <w:bottom w:val="single" w:sz="8" w:space="0" w:color="auto"/>
                    <w:right w:val="single" w:sz="4" w:space="0" w:color="auto"/>
                  </w:tcBorders>
                  <w:shd w:val="clear" w:color="auto" w:fill="auto"/>
                  <w:noWrap/>
                  <w:vAlign w:val="bottom"/>
                  <w:hideMark/>
                </w:tcPr>
                <w:p w14:paraId="799676A9"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41 140</w:t>
                  </w:r>
                </w:p>
              </w:tc>
              <w:tc>
                <w:tcPr>
                  <w:tcW w:w="0" w:type="auto"/>
                  <w:tcBorders>
                    <w:top w:val="nil"/>
                    <w:left w:val="nil"/>
                    <w:bottom w:val="single" w:sz="8" w:space="0" w:color="auto"/>
                    <w:right w:val="single" w:sz="4" w:space="0" w:color="auto"/>
                  </w:tcBorders>
                  <w:shd w:val="clear" w:color="auto" w:fill="auto"/>
                  <w:noWrap/>
                  <w:vAlign w:val="bottom"/>
                  <w:hideMark/>
                </w:tcPr>
                <w:p w14:paraId="1C532097"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38 361</w:t>
                  </w:r>
                </w:p>
              </w:tc>
              <w:tc>
                <w:tcPr>
                  <w:tcW w:w="0" w:type="auto"/>
                  <w:tcBorders>
                    <w:top w:val="nil"/>
                    <w:left w:val="nil"/>
                    <w:bottom w:val="single" w:sz="8" w:space="0" w:color="auto"/>
                    <w:right w:val="single" w:sz="4" w:space="0" w:color="auto"/>
                  </w:tcBorders>
                  <w:shd w:val="clear" w:color="auto" w:fill="auto"/>
                  <w:noWrap/>
                  <w:vAlign w:val="bottom"/>
                  <w:hideMark/>
                </w:tcPr>
                <w:p w14:paraId="3C16099D"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39 001</w:t>
                  </w:r>
                </w:p>
              </w:tc>
              <w:tc>
                <w:tcPr>
                  <w:tcW w:w="0" w:type="auto"/>
                  <w:tcBorders>
                    <w:top w:val="nil"/>
                    <w:left w:val="nil"/>
                    <w:bottom w:val="single" w:sz="8" w:space="0" w:color="auto"/>
                    <w:right w:val="single" w:sz="4" w:space="0" w:color="auto"/>
                  </w:tcBorders>
                  <w:shd w:val="clear" w:color="auto" w:fill="auto"/>
                  <w:noWrap/>
                  <w:vAlign w:val="bottom"/>
                  <w:hideMark/>
                </w:tcPr>
                <w:p w14:paraId="347B8DD3"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39 714</w:t>
                  </w:r>
                </w:p>
              </w:tc>
              <w:tc>
                <w:tcPr>
                  <w:tcW w:w="0" w:type="auto"/>
                  <w:tcBorders>
                    <w:top w:val="nil"/>
                    <w:left w:val="nil"/>
                    <w:bottom w:val="single" w:sz="8" w:space="0" w:color="auto"/>
                    <w:right w:val="single" w:sz="8" w:space="0" w:color="auto"/>
                  </w:tcBorders>
                  <w:shd w:val="clear" w:color="auto" w:fill="auto"/>
                  <w:noWrap/>
                  <w:vAlign w:val="bottom"/>
                  <w:hideMark/>
                </w:tcPr>
                <w:p w14:paraId="02FC9D91"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40 435</w:t>
                  </w:r>
                </w:p>
              </w:tc>
            </w:tr>
            <w:tr w:rsidR="00735524" w:rsidRPr="008C36B0" w14:paraId="7DA22ACB" w14:textId="77777777" w:rsidTr="001356B8">
              <w:trPr>
                <w:trHeight w:val="12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0B1DE7E5" w14:textId="77777777" w:rsidR="00735524" w:rsidRPr="008C36B0" w:rsidRDefault="00735524" w:rsidP="00735524">
                  <w:pPr>
                    <w:spacing w:before="0" w:after="0"/>
                    <w:jc w:val="left"/>
                    <w:rPr>
                      <w:rFonts w:ascii="Calibri" w:hAnsi="Calibri" w:cs="Calibri"/>
                      <w:color w:val="000000"/>
                      <w:sz w:val="16"/>
                      <w:szCs w:val="16"/>
                      <w:lang w:val="nb-NO" w:eastAsia="nb-NO"/>
                    </w:rPr>
                  </w:pPr>
                  <w:proofErr w:type="spellStart"/>
                  <w:r w:rsidRPr="008C36B0">
                    <w:rPr>
                      <w:rFonts w:ascii="Calibri" w:hAnsi="Calibri" w:cs="Calibri"/>
                      <w:color w:val="000000"/>
                      <w:sz w:val="16"/>
                      <w:szCs w:val="16"/>
                      <w:lang w:val="nb-NO" w:eastAsia="nb-NO"/>
                    </w:rPr>
                    <w:t>Pension</w:t>
                  </w:r>
                  <w:proofErr w:type="spellEnd"/>
                  <w:r w:rsidRPr="008C36B0">
                    <w:rPr>
                      <w:rFonts w:ascii="Calibri" w:hAnsi="Calibri" w:cs="Calibri"/>
                      <w:color w:val="000000"/>
                      <w:sz w:val="16"/>
                      <w:szCs w:val="16"/>
                      <w:lang w:val="nb-NO" w:eastAsia="nb-NO"/>
                    </w:rPr>
                    <w:t xml:space="preserve"> </w:t>
                  </w:r>
                  <w:proofErr w:type="spellStart"/>
                  <w:r w:rsidRPr="008C36B0">
                    <w:rPr>
                      <w:rFonts w:ascii="Calibri" w:hAnsi="Calibri" w:cs="Calibri"/>
                      <w:color w:val="000000"/>
                      <w:sz w:val="16"/>
                      <w:szCs w:val="16"/>
                      <w:lang w:val="nb-NO" w:eastAsia="nb-NO"/>
                    </w:rPr>
                    <w:t>costs</w:t>
                  </w:r>
                  <w:proofErr w:type="spellEnd"/>
                  <w:r w:rsidRPr="008C36B0">
                    <w:rPr>
                      <w:rFonts w:ascii="Calibri" w:hAnsi="Calibri" w:cs="Calibri"/>
                      <w:color w:val="000000"/>
                      <w:sz w:val="16"/>
                      <w:szCs w:val="16"/>
                      <w:lang w:val="nb-NO" w:eastAsia="nb-NO"/>
                    </w:rPr>
                    <w:t xml:space="preserve"> </w:t>
                  </w:r>
                </w:p>
              </w:tc>
              <w:tc>
                <w:tcPr>
                  <w:tcW w:w="0" w:type="auto"/>
                  <w:tcBorders>
                    <w:top w:val="nil"/>
                    <w:left w:val="nil"/>
                    <w:bottom w:val="single" w:sz="8" w:space="0" w:color="auto"/>
                    <w:right w:val="single" w:sz="4" w:space="0" w:color="auto"/>
                  </w:tcBorders>
                  <w:shd w:val="clear" w:color="auto" w:fill="auto"/>
                  <w:noWrap/>
                  <w:vAlign w:val="bottom"/>
                  <w:hideMark/>
                </w:tcPr>
                <w:p w14:paraId="1555E422"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45 063</w:t>
                  </w:r>
                </w:p>
              </w:tc>
              <w:tc>
                <w:tcPr>
                  <w:tcW w:w="0" w:type="auto"/>
                  <w:tcBorders>
                    <w:top w:val="nil"/>
                    <w:left w:val="nil"/>
                    <w:bottom w:val="single" w:sz="8" w:space="0" w:color="auto"/>
                    <w:right w:val="single" w:sz="4" w:space="0" w:color="auto"/>
                  </w:tcBorders>
                  <w:shd w:val="clear" w:color="auto" w:fill="auto"/>
                  <w:noWrap/>
                  <w:vAlign w:val="bottom"/>
                  <w:hideMark/>
                </w:tcPr>
                <w:p w14:paraId="1B1D98B6"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41 162</w:t>
                  </w:r>
                </w:p>
              </w:tc>
              <w:tc>
                <w:tcPr>
                  <w:tcW w:w="0" w:type="auto"/>
                  <w:tcBorders>
                    <w:top w:val="nil"/>
                    <w:left w:val="nil"/>
                    <w:bottom w:val="single" w:sz="8" w:space="0" w:color="auto"/>
                    <w:right w:val="single" w:sz="4" w:space="0" w:color="auto"/>
                  </w:tcBorders>
                  <w:shd w:val="clear" w:color="auto" w:fill="auto"/>
                  <w:noWrap/>
                  <w:vAlign w:val="bottom"/>
                  <w:hideMark/>
                </w:tcPr>
                <w:p w14:paraId="597845F9"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42 024</w:t>
                  </w:r>
                </w:p>
              </w:tc>
              <w:tc>
                <w:tcPr>
                  <w:tcW w:w="0" w:type="auto"/>
                  <w:tcBorders>
                    <w:top w:val="nil"/>
                    <w:left w:val="nil"/>
                    <w:bottom w:val="single" w:sz="8" w:space="0" w:color="auto"/>
                    <w:right w:val="single" w:sz="4" w:space="0" w:color="auto"/>
                  </w:tcBorders>
                  <w:shd w:val="clear" w:color="auto" w:fill="auto"/>
                  <w:noWrap/>
                  <w:vAlign w:val="bottom"/>
                  <w:hideMark/>
                </w:tcPr>
                <w:p w14:paraId="762142B6"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42 843</w:t>
                  </w:r>
                </w:p>
              </w:tc>
              <w:tc>
                <w:tcPr>
                  <w:tcW w:w="0" w:type="auto"/>
                  <w:tcBorders>
                    <w:top w:val="nil"/>
                    <w:left w:val="nil"/>
                    <w:bottom w:val="single" w:sz="8" w:space="0" w:color="auto"/>
                    <w:right w:val="single" w:sz="8" w:space="0" w:color="auto"/>
                  </w:tcBorders>
                  <w:shd w:val="clear" w:color="auto" w:fill="auto"/>
                  <w:noWrap/>
                  <w:vAlign w:val="bottom"/>
                  <w:hideMark/>
                </w:tcPr>
                <w:p w14:paraId="7509377A" w14:textId="77777777" w:rsidR="00735524" w:rsidRPr="008C36B0" w:rsidRDefault="00735524" w:rsidP="00735524">
                  <w:pPr>
                    <w:spacing w:before="0" w:after="0"/>
                    <w:jc w:val="right"/>
                    <w:rPr>
                      <w:rFonts w:ascii="Calibri" w:hAnsi="Calibri" w:cs="Calibri"/>
                      <w:color w:val="000000"/>
                      <w:sz w:val="16"/>
                      <w:szCs w:val="16"/>
                      <w:lang w:val="nb-NO" w:eastAsia="nb-NO"/>
                    </w:rPr>
                  </w:pPr>
                  <w:r w:rsidRPr="008C36B0">
                    <w:rPr>
                      <w:rFonts w:ascii="Calibri" w:hAnsi="Calibri" w:cs="Calibri"/>
                      <w:color w:val="000000"/>
                      <w:sz w:val="16"/>
                      <w:szCs w:val="16"/>
                      <w:lang w:val="nb-NO" w:eastAsia="nb-NO"/>
                    </w:rPr>
                    <w:t>43 589</w:t>
                  </w:r>
                </w:p>
              </w:tc>
            </w:tr>
          </w:tbl>
          <w:p w14:paraId="2953655D" w14:textId="755C2BE8" w:rsidR="00735524" w:rsidRDefault="00735524" w:rsidP="009C5EDB">
            <w:pPr>
              <w:pStyle w:val="Default"/>
              <w:rPr>
                <w:bCs/>
                <w:iCs/>
                <w:color w:val="auto"/>
                <w:sz w:val="18"/>
                <w:szCs w:val="18"/>
                <w:highlight w:val="yellow"/>
                <w:lang w:val="en-US"/>
              </w:rPr>
            </w:pPr>
          </w:p>
          <w:p w14:paraId="22E14DFB" w14:textId="5006A0CB" w:rsidR="00735524" w:rsidRPr="00567FC7" w:rsidRDefault="00735524" w:rsidP="009C5EDB">
            <w:pPr>
              <w:pStyle w:val="Default"/>
              <w:rPr>
                <w:bCs/>
                <w:iCs/>
                <w:color w:val="auto"/>
                <w:sz w:val="18"/>
                <w:szCs w:val="18"/>
                <w:highlight w:val="yellow"/>
                <w:lang w:val="en-US"/>
              </w:rPr>
            </w:pPr>
          </w:p>
        </w:tc>
      </w:tr>
      <w:tr w:rsidR="009C5EDB" w:rsidRPr="00CA2B9B" w14:paraId="5DE467B8" w14:textId="77777777" w:rsidTr="00BF7D94">
        <w:tc>
          <w:tcPr>
            <w:tcW w:w="2269" w:type="dxa"/>
            <w:shd w:val="clear" w:color="auto" w:fill="auto"/>
          </w:tcPr>
          <w:p w14:paraId="226A2EC8" w14:textId="77777777" w:rsidR="009C5EDB" w:rsidRPr="009A19BC" w:rsidRDefault="009C5EDB" w:rsidP="009C5EDB">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5E916E7E" w14:textId="1E7F2A61" w:rsidR="009C5EDB" w:rsidRPr="00530F83" w:rsidRDefault="009C5EDB" w:rsidP="009C5EDB">
            <w:pPr>
              <w:pStyle w:val="Default"/>
              <w:rPr>
                <w:bCs/>
                <w:iCs/>
                <w:color w:val="auto"/>
                <w:sz w:val="18"/>
                <w:szCs w:val="18"/>
                <w:lang w:val="en-US"/>
              </w:rPr>
            </w:pPr>
            <w:r w:rsidRPr="00530F83">
              <w:rPr>
                <w:rFonts w:cs="Arial"/>
                <w:color w:val="auto"/>
                <w:sz w:val="18"/>
                <w:szCs w:val="18"/>
              </w:rPr>
              <w:t>The main categories of other operating cost</w:t>
            </w:r>
            <w:r>
              <w:rPr>
                <w:rFonts w:cs="Arial"/>
                <w:color w:val="auto"/>
                <w:sz w:val="18"/>
                <w:szCs w:val="18"/>
              </w:rPr>
              <w:t>s</w:t>
            </w:r>
            <w:r w:rsidRPr="00530F83">
              <w:rPr>
                <w:rFonts w:cs="Arial"/>
                <w:color w:val="auto"/>
                <w:sz w:val="18"/>
                <w:szCs w:val="18"/>
              </w:rPr>
              <w:t xml:space="preserve"> are travel, consultancy, intercompany services </w:t>
            </w:r>
            <w:proofErr w:type="gramStart"/>
            <w:r w:rsidRPr="00530F83">
              <w:rPr>
                <w:rFonts w:cs="Arial"/>
                <w:color w:val="auto"/>
                <w:sz w:val="18"/>
                <w:szCs w:val="18"/>
              </w:rPr>
              <w:t>i.e.</w:t>
            </w:r>
            <w:proofErr w:type="gramEnd"/>
            <w:r w:rsidRPr="00530F83">
              <w:rPr>
                <w:rFonts w:cs="Arial"/>
                <w:color w:val="auto"/>
                <w:sz w:val="18"/>
                <w:szCs w:val="18"/>
              </w:rPr>
              <w:t xml:space="preserve"> IT</w:t>
            </w:r>
            <w:r>
              <w:rPr>
                <w:rFonts w:cs="Arial"/>
                <w:color w:val="auto"/>
                <w:sz w:val="18"/>
                <w:szCs w:val="18"/>
              </w:rPr>
              <w:t xml:space="preserve">, </w:t>
            </w:r>
            <w:r w:rsidRPr="00530F83">
              <w:rPr>
                <w:rFonts w:cs="Arial"/>
                <w:color w:val="auto"/>
                <w:sz w:val="18"/>
                <w:szCs w:val="18"/>
              </w:rPr>
              <w:t xml:space="preserve">accounting and maintenance of equipment used for </w:t>
            </w:r>
            <w:r>
              <w:rPr>
                <w:rFonts w:cs="Arial"/>
                <w:color w:val="auto"/>
                <w:sz w:val="18"/>
                <w:szCs w:val="18"/>
              </w:rPr>
              <w:t xml:space="preserve">TNC </w:t>
            </w:r>
            <w:r w:rsidRPr="00530F83">
              <w:rPr>
                <w:rFonts w:cs="Arial"/>
                <w:color w:val="auto"/>
                <w:sz w:val="18"/>
                <w:szCs w:val="18"/>
              </w:rPr>
              <w:t>services.</w:t>
            </w:r>
          </w:p>
          <w:p w14:paraId="0C48CEB0" w14:textId="77777777" w:rsidR="009C5EDB" w:rsidRPr="00530F83" w:rsidRDefault="009C5EDB" w:rsidP="009C5EDB">
            <w:pPr>
              <w:pStyle w:val="Default"/>
              <w:rPr>
                <w:bCs/>
                <w:iCs/>
                <w:color w:val="auto"/>
                <w:sz w:val="18"/>
                <w:szCs w:val="18"/>
                <w:lang w:val="en-US"/>
              </w:rPr>
            </w:pPr>
          </w:p>
          <w:p w14:paraId="602DF387" w14:textId="77777777" w:rsidR="009C5EDB" w:rsidRPr="00530F83" w:rsidRDefault="009C5EDB" w:rsidP="009C5EDB">
            <w:pPr>
              <w:pStyle w:val="Default"/>
              <w:rPr>
                <w:bCs/>
                <w:iCs/>
                <w:color w:val="auto"/>
                <w:sz w:val="18"/>
                <w:szCs w:val="18"/>
                <w:highlight w:val="yellow"/>
                <w:lang w:val="en-US"/>
              </w:rPr>
            </w:pPr>
            <w:r w:rsidRPr="00530F83">
              <w:rPr>
                <w:rFonts w:cs="Arial"/>
                <w:color w:val="auto"/>
                <w:sz w:val="18"/>
                <w:szCs w:val="18"/>
              </w:rPr>
              <w:t>Other operating cost</w:t>
            </w:r>
            <w:r>
              <w:rPr>
                <w:rFonts w:cs="Arial"/>
                <w:color w:val="auto"/>
                <w:sz w:val="18"/>
                <w:szCs w:val="18"/>
              </w:rPr>
              <w:t>s</w:t>
            </w:r>
            <w:r w:rsidRPr="00530F83">
              <w:rPr>
                <w:rFonts w:cs="Arial"/>
                <w:color w:val="auto"/>
                <w:sz w:val="18"/>
                <w:szCs w:val="18"/>
              </w:rPr>
              <w:t xml:space="preserve"> </w:t>
            </w:r>
            <w:r>
              <w:rPr>
                <w:rFonts w:cs="Arial"/>
                <w:color w:val="auto"/>
                <w:sz w:val="18"/>
                <w:szCs w:val="18"/>
              </w:rPr>
              <w:t>are</w:t>
            </w:r>
            <w:r w:rsidRPr="00530F83">
              <w:rPr>
                <w:rFonts w:cs="Arial"/>
                <w:color w:val="auto"/>
                <w:sz w:val="18"/>
                <w:szCs w:val="18"/>
              </w:rPr>
              <w:t xml:space="preserve"> expected to maintain </w:t>
            </w:r>
            <w:r>
              <w:rPr>
                <w:rFonts w:cs="Arial"/>
                <w:color w:val="auto"/>
                <w:sz w:val="18"/>
                <w:szCs w:val="18"/>
              </w:rPr>
              <w:t xml:space="preserve">relatively </w:t>
            </w:r>
            <w:r w:rsidRPr="00530F83">
              <w:rPr>
                <w:rFonts w:cs="Arial"/>
                <w:color w:val="auto"/>
                <w:sz w:val="18"/>
                <w:szCs w:val="18"/>
              </w:rPr>
              <w:t xml:space="preserve">stable in RP3. </w:t>
            </w:r>
          </w:p>
        </w:tc>
      </w:tr>
      <w:tr w:rsidR="009C5EDB" w:rsidRPr="009D72C7" w14:paraId="6AF998B0" w14:textId="77777777" w:rsidTr="00BF7D94">
        <w:tc>
          <w:tcPr>
            <w:tcW w:w="2269" w:type="dxa"/>
            <w:shd w:val="clear" w:color="auto" w:fill="auto"/>
          </w:tcPr>
          <w:p w14:paraId="1E6BEA58" w14:textId="77777777" w:rsidR="009C5EDB" w:rsidRPr="00E60CD7" w:rsidRDefault="009C5EDB" w:rsidP="009C5EDB">
            <w:pPr>
              <w:pStyle w:val="Default"/>
              <w:jc w:val="both"/>
              <w:rPr>
                <w:bCs/>
                <w:color w:val="auto"/>
                <w:sz w:val="18"/>
                <w:szCs w:val="18"/>
                <w:lang w:val="en-US"/>
              </w:rPr>
            </w:pPr>
            <w:r w:rsidRPr="00E60CD7">
              <w:rPr>
                <w:bCs/>
                <w:color w:val="auto"/>
                <w:sz w:val="18"/>
                <w:szCs w:val="18"/>
                <w:lang w:val="en-US"/>
              </w:rPr>
              <w:t>1.3 Depreciation</w:t>
            </w:r>
          </w:p>
        </w:tc>
        <w:tc>
          <w:tcPr>
            <w:tcW w:w="7053" w:type="dxa"/>
            <w:shd w:val="clear" w:color="auto" w:fill="auto"/>
          </w:tcPr>
          <w:p w14:paraId="2D09E60C" w14:textId="77777777" w:rsidR="009C5EDB" w:rsidRPr="00530F83" w:rsidRDefault="009C5EDB" w:rsidP="009C5EDB">
            <w:pPr>
              <w:pStyle w:val="Default"/>
              <w:jc w:val="both"/>
              <w:rPr>
                <w:rFonts w:cs="Arial"/>
                <w:color w:val="auto"/>
                <w:sz w:val="18"/>
                <w:szCs w:val="18"/>
              </w:rPr>
            </w:pPr>
            <w:r w:rsidRPr="00943A2F">
              <w:rPr>
                <w:rFonts w:cs="Arial"/>
                <w:color w:val="auto"/>
                <w:sz w:val="18"/>
                <w:szCs w:val="18"/>
              </w:rPr>
              <w:t>Depreciations relate to the total fixed assets in operations of TNC</w:t>
            </w:r>
            <w:r w:rsidRPr="0050381D">
              <w:rPr>
                <w:rFonts w:cs="Arial"/>
                <w:color w:val="auto"/>
                <w:sz w:val="18"/>
                <w:szCs w:val="18"/>
              </w:rPr>
              <w:t xml:space="preserve"> services.</w:t>
            </w:r>
            <w:r w:rsidRPr="00530F83">
              <w:rPr>
                <w:rFonts w:cs="Arial"/>
                <w:color w:val="auto"/>
                <w:sz w:val="18"/>
                <w:szCs w:val="18"/>
              </w:rPr>
              <w:t xml:space="preserve"> </w:t>
            </w:r>
          </w:p>
          <w:p w14:paraId="6FCB170C" w14:textId="77777777" w:rsidR="009C5EDB" w:rsidRPr="00530F83" w:rsidRDefault="009C5EDB" w:rsidP="009C5EDB">
            <w:pPr>
              <w:pStyle w:val="Default"/>
              <w:jc w:val="both"/>
              <w:rPr>
                <w:rFonts w:cs="Arial"/>
                <w:color w:val="auto"/>
                <w:sz w:val="18"/>
                <w:szCs w:val="18"/>
              </w:rPr>
            </w:pPr>
          </w:p>
          <w:p w14:paraId="2D031998" w14:textId="615E70CE" w:rsidR="009C5EDB" w:rsidRPr="00CC6106" w:rsidRDefault="009C5EDB" w:rsidP="006E0C7C">
            <w:pPr>
              <w:spacing w:line="276" w:lineRule="auto"/>
              <w:rPr>
                <w:rFonts w:asciiTheme="minorHAnsi" w:hAnsiTheme="minorHAnsi" w:cstheme="minorHAnsi"/>
                <w:sz w:val="18"/>
                <w:szCs w:val="18"/>
              </w:rPr>
            </w:pPr>
            <w:r w:rsidRPr="00CC6106">
              <w:rPr>
                <w:rFonts w:asciiTheme="minorHAnsi" w:hAnsiTheme="minorHAnsi" w:cstheme="minorHAnsi"/>
                <w:sz w:val="18"/>
                <w:szCs w:val="18"/>
              </w:rPr>
              <w:t xml:space="preserve">Capital expenditure will increase </w:t>
            </w:r>
            <w:r w:rsidR="006E0C7C" w:rsidRPr="00CC6106">
              <w:rPr>
                <w:rFonts w:asciiTheme="minorHAnsi" w:hAnsiTheme="minorHAnsi" w:cstheme="minorHAnsi"/>
                <w:sz w:val="18"/>
                <w:szCs w:val="18"/>
              </w:rPr>
              <w:t xml:space="preserve">slightly </w:t>
            </w:r>
            <w:r w:rsidRPr="00CC6106">
              <w:rPr>
                <w:rFonts w:asciiTheme="minorHAnsi" w:hAnsiTheme="minorHAnsi" w:cstheme="minorHAnsi"/>
                <w:sz w:val="18"/>
                <w:szCs w:val="18"/>
              </w:rPr>
              <w:t>in RP3</w:t>
            </w:r>
            <w:r w:rsidR="006E0C7C" w:rsidRPr="00CC6106">
              <w:rPr>
                <w:rFonts w:asciiTheme="minorHAnsi" w:hAnsiTheme="minorHAnsi" w:cstheme="minorHAnsi"/>
                <w:sz w:val="18"/>
                <w:szCs w:val="18"/>
              </w:rPr>
              <w:t xml:space="preserve"> due to general investments in ATM systems at OSL.</w:t>
            </w:r>
          </w:p>
        </w:tc>
      </w:tr>
      <w:tr w:rsidR="009C5EDB" w:rsidRPr="00425B26" w14:paraId="6F06A820" w14:textId="77777777" w:rsidTr="00BF7D94">
        <w:tc>
          <w:tcPr>
            <w:tcW w:w="2269" w:type="dxa"/>
            <w:shd w:val="clear" w:color="auto" w:fill="auto"/>
          </w:tcPr>
          <w:p w14:paraId="046378D3" w14:textId="77777777" w:rsidR="009C5EDB" w:rsidRPr="009A19BC" w:rsidRDefault="009C5EDB" w:rsidP="009C5EDB">
            <w:pPr>
              <w:pStyle w:val="Default"/>
              <w:jc w:val="both"/>
              <w:rPr>
                <w:bCs/>
                <w:color w:val="auto"/>
                <w:sz w:val="18"/>
                <w:szCs w:val="18"/>
              </w:rPr>
            </w:pPr>
            <w:r w:rsidRPr="009A19BC">
              <w:rPr>
                <w:bCs/>
                <w:color w:val="auto"/>
                <w:sz w:val="18"/>
                <w:szCs w:val="18"/>
              </w:rPr>
              <w:t>1.4 Cost of capital</w:t>
            </w:r>
          </w:p>
        </w:tc>
        <w:tc>
          <w:tcPr>
            <w:tcW w:w="7053" w:type="dxa"/>
            <w:shd w:val="clear" w:color="auto" w:fill="auto"/>
          </w:tcPr>
          <w:p w14:paraId="771EE4E1" w14:textId="77777777" w:rsidR="009C5EDB" w:rsidRDefault="009C5EDB" w:rsidP="009C5EDB">
            <w:pPr>
              <w:pStyle w:val="Default"/>
              <w:jc w:val="both"/>
              <w:rPr>
                <w:rFonts w:cs="Arial"/>
                <w:color w:val="auto"/>
                <w:sz w:val="18"/>
                <w:szCs w:val="18"/>
              </w:rPr>
            </w:pPr>
            <w:r w:rsidRPr="0050381D">
              <w:rPr>
                <w:rFonts w:cs="Arial"/>
                <w:color w:val="auto"/>
                <w:sz w:val="18"/>
                <w:szCs w:val="18"/>
              </w:rPr>
              <w:t xml:space="preserve">Cost of capital on assets used for </w:t>
            </w:r>
            <w:r>
              <w:rPr>
                <w:rFonts w:cs="Arial"/>
                <w:color w:val="auto"/>
                <w:sz w:val="18"/>
                <w:szCs w:val="18"/>
              </w:rPr>
              <w:t xml:space="preserve">TNC </w:t>
            </w:r>
            <w:r w:rsidRPr="0050381D">
              <w:rPr>
                <w:rFonts w:cs="Arial"/>
                <w:color w:val="auto"/>
                <w:sz w:val="18"/>
                <w:szCs w:val="18"/>
              </w:rPr>
              <w:t>services</w:t>
            </w:r>
            <w:r w:rsidRPr="00530F83">
              <w:rPr>
                <w:rFonts w:cs="Arial"/>
                <w:color w:val="auto"/>
                <w:sz w:val="18"/>
                <w:szCs w:val="18"/>
              </w:rPr>
              <w:t>.</w:t>
            </w:r>
          </w:p>
          <w:p w14:paraId="1B0B464C" w14:textId="36985F35" w:rsidR="006E0C7C" w:rsidRPr="0018421D" w:rsidRDefault="006E0C7C" w:rsidP="006E0C7C">
            <w:pPr>
              <w:rPr>
                <w:rFonts w:ascii="Calibri" w:eastAsia="Calibri" w:hAnsi="Calibri" w:cs="Arial"/>
                <w:sz w:val="18"/>
                <w:szCs w:val="18"/>
              </w:rPr>
            </w:pPr>
            <w:r>
              <w:rPr>
                <w:rFonts w:ascii="Calibri" w:eastAsia="Calibri" w:hAnsi="Calibri" w:cs="Arial"/>
                <w:sz w:val="18"/>
                <w:szCs w:val="18"/>
              </w:rPr>
              <w:t>The investment project New ATM system OSL</w:t>
            </w:r>
            <w:r w:rsidR="009D005F">
              <w:rPr>
                <w:rFonts w:ascii="Calibri" w:eastAsia="Calibri" w:hAnsi="Calibri" w:cs="Arial"/>
                <w:sz w:val="18"/>
                <w:szCs w:val="18"/>
              </w:rPr>
              <w:t xml:space="preserve"> (</w:t>
            </w:r>
            <w:proofErr w:type="spellStart"/>
            <w:r>
              <w:rPr>
                <w:rFonts w:ascii="Calibri" w:eastAsia="Calibri" w:hAnsi="Calibri" w:cs="Arial"/>
                <w:sz w:val="18"/>
                <w:szCs w:val="18"/>
              </w:rPr>
              <w:t>NeTSO</w:t>
            </w:r>
            <w:proofErr w:type="spellEnd"/>
            <w:r w:rsidR="009D005F">
              <w:rPr>
                <w:rFonts w:ascii="Calibri" w:eastAsia="Calibri" w:hAnsi="Calibri" w:cs="Arial"/>
                <w:sz w:val="18"/>
                <w:szCs w:val="18"/>
              </w:rPr>
              <w:t>)</w:t>
            </w:r>
            <w:r>
              <w:rPr>
                <w:rFonts w:ascii="Calibri" w:eastAsia="Calibri" w:hAnsi="Calibri" w:cs="Arial"/>
                <w:sz w:val="18"/>
                <w:szCs w:val="18"/>
              </w:rPr>
              <w:t xml:space="preserve"> has been delayed two years due to the pandemic</w:t>
            </w:r>
            <w:r w:rsidR="009D005F">
              <w:rPr>
                <w:rFonts w:ascii="Calibri" w:eastAsia="Calibri" w:hAnsi="Calibri" w:cs="Arial"/>
                <w:sz w:val="18"/>
                <w:szCs w:val="18"/>
              </w:rPr>
              <w:t>,</w:t>
            </w:r>
            <w:r>
              <w:rPr>
                <w:rFonts w:ascii="Calibri" w:eastAsia="Calibri" w:hAnsi="Calibri" w:cs="Arial"/>
                <w:sz w:val="18"/>
                <w:szCs w:val="18"/>
              </w:rPr>
              <w:t xml:space="preserve"> and the cost of capital will increase in RP3. Training of </w:t>
            </w:r>
            <w:r w:rsidRPr="0018421D">
              <w:rPr>
                <w:rFonts w:ascii="Calibri" w:eastAsia="Calibri" w:hAnsi="Calibri" w:cs="Arial"/>
                <w:sz w:val="18"/>
                <w:szCs w:val="18"/>
              </w:rPr>
              <w:t>ATCOs at Gardermoen TWR</w:t>
            </w:r>
            <w:r>
              <w:rPr>
                <w:rFonts w:ascii="Calibri" w:eastAsia="Calibri" w:hAnsi="Calibri" w:cs="Arial"/>
                <w:sz w:val="18"/>
                <w:szCs w:val="18"/>
              </w:rPr>
              <w:t xml:space="preserve"> will probably start in 2025, with first implementation of </w:t>
            </w:r>
            <w:proofErr w:type="spellStart"/>
            <w:r>
              <w:rPr>
                <w:rFonts w:ascii="Calibri" w:eastAsia="Calibri" w:hAnsi="Calibri" w:cs="Arial"/>
                <w:sz w:val="18"/>
                <w:szCs w:val="18"/>
              </w:rPr>
              <w:t>NeTSO</w:t>
            </w:r>
            <w:proofErr w:type="spellEnd"/>
            <w:r>
              <w:rPr>
                <w:rFonts w:ascii="Calibri" w:eastAsia="Calibri" w:hAnsi="Calibri" w:cs="Arial"/>
                <w:sz w:val="18"/>
                <w:szCs w:val="18"/>
              </w:rPr>
              <w:t xml:space="preserve"> early in RP4</w:t>
            </w:r>
            <w:r w:rsidRPr="0018421D">
              <w:rPr>
                <w:rFonts w:ascii="Calibri" w:eastAsia="Calibri" w:hAnsi="Calibri" w:cs="Arial"/>
                <w:sz w:val="18"/>
                <w:szCs w:val="18"/>
              </w:rPr>
              <w:t xml:space="preserve">. The rationale for implementing </w:t>
            </w:r>
            <w:proofErr w:type="spellStart"/>
            <w:r w:rsidRPr="0018421D">
              <w:rPr>
                <w:rFonts w:ascii="Calibri" w:eastAsia="Calibri" w:hAnsi="Calibri" w:cs="Arial"/>
                <w:sz w:val="18"/>
                <w:szCs w:val="18"/>
              </w:rPr>
              <w:t>NeTSO</w:t>
            </w:r>
            <w:proofErr w:type="spellEnd"/>
            <w:r w:rsidRPr="0018421D">
              <w:rPr>
                <w:rFonts w:ascii="Calibri" w:eastAsia="Calibri" w:hAnsi="Calibri" w:cs="Arial"/>
                <w:sz w:val="18"/>
                <w:szCs w:val="18"/>
              </w:rPr>
              <w:t xml:space="preserve"> is the need for change due to the implementation of the new </w:t>
            </w:r>
            <w:proofErr w:type="spellStart"/>
            <w:r w:rsidRPr="0018421D">
              <w:rPr>
                <w:rFonts w:ascii="Calibri" w:eastAsia="Calibri" w:hAnsi="Calibri" w:cs="Arial"/>
                <w:sz w:val="18"/>
                <w:szCs w:val="18"/>
              </w:rPr>
              <w:t>en</w:t>
            </w:r>
            <w:proofErr w:type="spellEnd"/>
            <w:r>
              <w:rPr>
                <w:rFonts w:ascii="Calibri" w:eastAsia="Calibri" w:hAnsi="Calibri" w:cs="Arial"/>
                <w:sz w:val="18"/>
                <w:szCs w:val="18"/>
              </w:rPr>
              <w:t>-</w:t>
            </w:r>
            <w:r w:rsidRPr="0018421D">
              <w:rPr>
                <w:rFonts w:ascii="Calibri" w:eastAsia="Calibri" w:hAnsi="Calibri" w:cs="Arial"/>
                <w:sz w:val="18"/>
                <w:szCs w:val="18"/>
              </w:rPr>
              <w:t>route ATM-system (</w:t>
            </w:r>
            <w:proofErr w:type="spellStart"/>
            <w:r w:rsidRPr="0018421D">
              <w:rPr>
                <w:rFonts w:ascii="Calibri" w:eastAsia="Calibri" w:hAnsi="Calibri" w:cs="Arial"/>
                <w:sz w:val="18"/>
                <w:szCs w:val="18"/>
              </w:rPr>
              <w:t>iTEC</w:t>
            </w:r>
            <w:proofErr w:type="spellEnd"/>
            <w:r w:rsidRPr="0018421D">
              <w:rPr>
                <w:rFonts w:ascii="Calibri" w:eastAsia="Calibri" w:hAnsi="Calibri" w:cs="Arial"/>
                <w:sz w:val="18"/>
                <w:szCs w:val="18"/>
              </w:rPr>
              <w:t xml:space="preserve">), the preparation for 3rd RWY at OSL and implementation of </w:t>
            </w:r>
            <w:r>
              <w:rPr>
                <w:rFonts w:ascii="Calibri" w:eastAsia="Calibri" w:hAnsi="Calibri" w:cs="Arial"/>
                <w:sz w:val="18"/>
                <w:szCs w:val="18"/>
              </w:rPr>
              <w:t>CP1</w:t>
            </w:r>
            <w:r w:rsidRPr="0018421D">
              <w:rPr>
                <w:rFonts w:ascii="Calibri" w:eastAsia="Calibri" w:hAnsi="Calibri" w:cs="Arial"/>
                <w:sz w:val="18"/>
                <w:szCs w:val="18"/>
              </w:rPr>
              <w:t xml:space="preserve"> requirements</w:t>
            </w:r>
            <w:r>
              <w:rPr>
                <w:rFonts w:ascii="Calibri" w:eastAsia="Calibri" w:hAnsi="Calibri" w:cs="Arial"/>
                <w:sz w:val="18"/>
                <w:szCs w:val="18"/>
              </w:rPr>
              <w:t>.</w:t>
            </w:r>
            <w:r w:rsidRPr="0018421D">
              <w:rPr>
                <w:rFonts w:ascii="Calibri" w:eastAsia="Calibri" w:hAnsi="Calibri" w:cs="Arial"/>
                <w:sz w:val="18"/>
                <w:szCs w:val="18"/>
              </w:rPr>
              <w:t xml:space="preserve"> Norway is not part of </w:t>
            </w:r>
            <w:r>
              <w:rPr>
                <w:rFonts w:ascii="Calibri" w:eastAsia="Calibri" w:hAnsi="Calibri" w:cs="Arial"/>
                <w:sz w:val="18"/>
                <w:szCs w:val="18"/>
              </w:rPr>
              <w:t xml:space="preserve">the </w:t>
            </w:r>
            <w:r w:rsidRPr="00943A2F">
              <w:rPr>
                <w:rFonts w:ascii="Calibri" w:eastAsia="Calibri" w:hAnsi="Calibri" w:cs="Arial"/>
                <w:sz w:val="18"/>
                <w:szCs w:val="18"/>
              </w:rPr>
              <w:t>European Union’s CEF funding program</w:t>
            </w:r>
            <w:r w:rsidRPr="0018421D">
              <w:rPr>
                <w:rFonts w:ascii="Calibri" w:eastAsia="Calibri" w:hAnsi="Calibri" w:cs="Arial"/>
                <w:sz w:val="18"/>
                <w:szCs w:val="18"/>
              </w:rPr>
              <w:t xml:space="preserve"> and </w:t>
            </w:r>
            <w:r>
              <w:rPr>
                <w:rFonts w:ascii="Calibri" w:eastAsia="Calibri" w:hAnsi="Calibri" w:cs="Arial"/>
                <w:sz w:val="18"/>
                <w:szCs w:val="18"/>
              </w:rPr>
              <w:t>has</w:t>
            </w:r>
            <w:r w:rsidRPr="0018421D">
              <w:rPr>
                <w:rFonts w:ascii="Calibri" w:eastAsia="Calibri" w:hAnsi="Calibri" w:cs="Arial"/>
                <w:sz w:val="18"/>
                <w:szCs w:val="18"/>
              </w:rPr>
              <w:t xml:space="preserve"> not been able to receive EU funding for implementation projects required by</w:t>
            </w:r>
            <w:r>
              <w:rPr>
                <w:rFonts w:ascii="Calibri" w:eastAsia="Calibri" w:hAnsi="Calibri" w:cs="Arial"/>
                <w:sz w:val="18"/>
                <w:szCs w:val="18"/>
              </w:rPr>
              <w:t xml:space="preserve"> (EU)</w:t>
            </w:r>
            <w:r w:rsidRPr="0018421D">
              <w:rPr>
                <w:rFonts w:ascii="Calibri" w:eastAsia="Calibri" w:hAnsi="Calibri" w:cs="Arial"/>
                <w:sz w:val="18"/>
                <w:szCs w:val="18"/>
              </w:rPr>
              <w:t xml:space="preserve"> 716/2014</w:t>
            </w:r>
            <w:r>
              <w:rPr>
                <w:rFonts w:ascii="Calibri" w:eastAsia="Calibri" w:hAnsi="Calibri" w:cs="Arial"/>
                <w:sz w:val="18"/>
                <w:szCs w:val="18"/>
              </w:rPr>
              <w:t>. T</w:t>
            </w:r>
            <w:r w:rsidRPr="0018421D">
              <w:rPr>
                <w:rFonts w:ascii="Calibri" w:eastAsia="Calibri" w:hAnsi="Calibri" w:cs="Arial"/>
                <w:sz w:val="18"/>
                <w:szCs w:val="18"/>
              </w:rPr>
              <w:t xml:space="preserve">he cost for </w:t>
            </w:r>
            <w:proofErr w:type="spellStart"/>
            <w:r w:rsidRPr="0018421D">
              <w:rPr>
                <w:rFonts w:ascii="Calibri" w:eastAsia="Calibri" w:hAnsi="Calibri" w:cs="Arial"/>
                <w:sz w:val="18"/>
                <w:szCs w:val="18"/>
              </w:rPr>
              <w:t>NeTSO</w:t>
            </w:r>
            <w:proofErr w:type="spellEnd"/>
            <w:r w:rsidRPr="0018421D">
              <w:rPr>
                <w:rFonts w:ascii="Calibri" w:eastAsia="Calibri" w:hAnsi="Calibri" w:cs="Arial"/>
                <w:sz w:val="18"/>
                <w:szCs w:val="18"/>
              </w:rPr>
              <w:t xml:space="preserve"> will therefor</w:t>
            </w:r>
            <w:r>
              <w:rPr>
                <w:rFonts w:ascii="Calibri" w:eastAsia="Calibri" w:hAnsi="Calibri" w:cs="Arial"/>
                <w:sz w:val="18"/>
                <w:szCs w:val="18"/>
              </w:rPr>
              <w:t>e</w:t>
            </w:r>
            <w:r w:rsidRPr="0018421D">
              <w:rPr>
                <w:rFonts w:ascii="Calibri" w:eastAsia="Calibri" w:hAnsi="Calibri" w:cs="Arial"/>
                <w:sz w:val="18"/>
                <w:szCs w:val="18"/>
              </w:rPr>
              <w:t xml:space="preserve"> need to be covered in full by the TNC charge. If Norway had been eligible for CEF funding, the percentage of applicable funding would be up to 50 % of the project cost. </w:t>
            </w:r>
          </w:p>
          <w:p w14:paraId="1A94A156" w14:textId="613D6CFE" w:rsidR="006E0C7C" w:rsidRDefault="006E0C7C" w:rsidP="006E0C7C">
            <w:pPr>
              <w:spacing w:line="276" w:lineRule="auto"/>
              <w:rPr>
                <w:rFonts w:ascii="Calibri" w:eastAsia="Calibri" w:hAnsi="Calibri" w:cs="Arial"/>
                <w:sz w:val="18"/>
                <w:szCs w:val="18"/>
              </w:rPr>
            </w:pPr>
            <w:r w:rsidRPr="0018421D">
              <w:rPr>
                <w:rFonts w:ascii="Calibri" w:eastAsia="Calibri" w:hAnsi="Calibri" w:cs="Arial"/>
                <w:sz w:val="18"/>
                <w:szCs w:val="18"/>
              </w:rPr>
              <w:lastRenderedPageBreak/>
              <w:t xml:space="preserve">Efficiency benefits from </w:t>
            </w:r>
            <w:proofErr w:type="spellStart"/>
            <w:r w:rsidRPr="0018421D">
              <w:rPr>
                <w:rFonts w:ascii="Calibri" w:eastAsia="Calibri" w:hAnsi="Calibri" w:cs="Arial"/>
                <w:sz w:val="18"/>
                <w:szCs w:val="18"/>
              </w:rPr>
              <w:t>NeTSO</w:t>
            </w:r>
            <w:proofErr w:type="spellEnd"/>
            <w:r w:rsidRPr="0018421D">
              <w:rPr>
                <w:rFonts w:ascii="Calibri" w:eastAsia="Calibri" w:hAnsi="Calibri" w:cs="Arial"/>
                <w:sz w:val="18"/>
                <w:szCs w:val="18"/>
              </w:rPr>
              <w:t xml:space="preserve"> is expected from 202</w:t>
            </w:r>
            <w:r>
              <w:rPr>
                <w:rFonts w:ascii="Calibri" w:eastAsia="Calibri" w:hAnsi="Calibri" w:cs="Arial"/>
                <w:sz w:val="18"/>
                <w:szCs w:val="18"/>
              </w:rPr>
              <w:t>6</w:t>
            </w:r>
            <w:r w:rsidRPr="0018421D">
              <w:rPr>
                <w:rFonts w:ascii="Calibri" w:eastAsia="Calibri" w:hAnsi="Calibri" w:cs="Arial"/>
                <w:sz w:val="18"/>
                <w:szCs w:val="18"/>
              </w:rPr>
              <w:t xml:space="preserve"> at the earliest. Efficiency in ordinary TWR operations is expected to increase because of the implementation of new technology and </w:t>
            </w:r>
            <w:proofErr w:type="spellStart"/>
            <w:r w:rsidRPr="0018421D">
              <w:rPr>
                <w:rFonts w:ascii="Calibri" w:eastAsia="Calibri" w:hAnsi="Calibri" w:cs="Arial"/>
                <w:sz w:val="18"/>
                <w:szCs w:val="18"/>
              </w:rPr>
              <w:t>Avinor</w:t>
            </w:r>
            <w:proofErr w:type="spellEnd"/>
            <w:r w:rsidRPr="0018421D">
              <w:rPr>
                <w:rFonts w:ascii="Calibri" w:eastAsia="Calibri" w:hAnsi="Calibri" w:cs="Arial"/>
                <w:sz w:val="18"/>
                <w:szCs w:val="18"/>
              </w:rPr>
              <w:t xml:space="preserve"> </w:t>
            </w:r>
            <w:r>
              <w:rPr>
                <w:rFonts w:ascii="Calibri" w:eastAsia="Calibri" w:hAnsi="Calibri" w:cs="Arial"/>
                <w:sz w:val="18"/>
                <w:szCs w:val="18"/>
              </w:rPr>
              <w:t xml:space="preserve">AS </w:t>
            </w:r>
            <w:r w:rsidRPr="0018421D">
              <w:rPr>
                <w:rFonts w:ascii="Calibri" w:eastAsia="Calibri" w:hAnsi="Calibri" w:cs="Arial"/>
                <w:sz w:val="18"/>
                <w:szCs w:val="18"/>
              </w:rPr>
              <w:t xml:space="preserve">is planning to handle the increase in air traffic with the same or reduced number of operational staff. The project will </w:t>
            </w:r>
            <w:r>
              <w:rPr>
                <w:rFonts w:ascii="Calibri" w:eastAsia="Calibri" w:hAnsi="Calibri" w:cs="Arial"/>
                <w:sz w:val="18"/>
                <w:szCs w:val="18"/>
              </w:rPr>
              <w:t xml:space="preserve">in phase two </w:t>
            </w:r>
            <w:r w:rsidRPr="0018421D">
              <w:rPr>
                <w:rFonts w:ascii="Calibri" w:eastAsia="Calibri" w:hAnsi="Calibri" w:cs="Arial"/>
                <w:sz w:val="18"/>
                <w:szCs w:val="18"/>
              </w:rPr>
              <w:t>introduce new technology</w:t>
            </w:r>
            <w:r>
              <w:rPr>
                <w:rFonts w:ascii="Calibri" w:eastAsia="Calibri" w:hAnsi="Calibri" w:cs="Arial"/>
                <w:sz w:val="18"/>
                <w:szCs w:val="18"/>
              </w:rPr>
              <w:t>;</w:t>
            </w:r>
            <w:r w:rsidRPr="0018421D">
              <w:rPr>
                <w:rFonts w:ascii="Calibri" w:eastAsia="Calibri" w:hAnsi="Calibri" w:cs="Arial"/>
                <w:sz w:val="18"/>
                <w:szCs w:val="18"/>
              </w:rPr>
              <w:t xml:space="preserve"> remote tower functionality in conventional TWR and </w:t>
            </w:r>
            <w:r>
              <w:rPr>
                <w:rFonts w:ascii="Calibri" w:eastAsia="Calibri" w:hAnsi="Calibri" w:cs="Arial"/>
                <w:sz w:val="18"/>
                <w:szCs w:val="18"/>
              </w:rPr>
              <w:t>better</w:t>
            </w:r>
            <w:r w:rsidRPr="0018421D">
              <w:rPr>
                <w:rFonts w:ascii="Calibri" w:eastAsia="Calibri" w:hAnsi="Calibri" w:cs="Arial"/>
                <w:sz w:val="18"/>
                <w:szCs w:val="18"/>
              </w:rPr>
              <w:t xml:space="preserve"> safety nets. The benefits for the airspace users will include increased safety, </w:t>
            </w:r>
            <w:proofErr w:type="gramStart"/>
            <w:r w:rsidRPr="0018421D">
              <w:rPr>
                <w:rFonts w:ascii="Calibri" w:eastAsia="Calibri" w:hAnsi="Calibri" w:cs="Arial"/>
                <w:sz w:val="18"/>
                <w:szCs w:val="18"/>
              </w:rPr>
              <w:t>capacity</w:t>
            </w:r>
            <w:proofErr w:type="gramEnd"/>
            <w:r w:rsidRPr="0018421D">
              <w:rPr>
                <w:rFonts w:ascii="Calibri" w:eastAsia="Calibri" w:hAnsi="Calibri" w:cs="Arial"/>
                <w:sz w:val="18"/>
                <w:szCs w:val="18"/>
              </w:rPr>
              <w:t xml:space="preserve"> and cost-efficiency</w:t>
            </w:r>
            <w:r>
              <w:rPr>
                <w:rFonts w:ascii="Calibri" w:eastAsia="Calibri" w:hAnsi="Calibri" w:cs="Arial"/>
                <w:sz w:val="18"/>
                <w:szCs w:val="18"/>
              </w:rPr>
              <w:t xml:space="preserve">. </w:t>
            </w:r>
          </w:p>
          <w:p w14:paraId="5C52C970" w14:textId="040699EC" w:rsidR="009C5EDB" w:rsidRPr="00530F83" w:rsidRDefault="009C5EDB" w:rsidP="009C5EDB">
            <w:pPr>
              <w:pStyle w:val="Default"/>
              <w:jc w:val="both"/>
              <w:rPr>
                <w:rFonts w:cs="Arial"/>
                <w:color w:val="auto"/>
                <w:sz w:val="18"/>
                <w:szCs w:val="18"/>
              </w:rPr>
            </w:pPr>
          </w:p>
        </w:tc>
      </w:tr>
      <w:tr w:rsidR="009C5EDB" w:rsidRPr="00D4056A" w14:paraId="36DD3AAD" w14:textId="77777777" w:rsidTr="00BF7D94">
        <w:tc>
          <w:tcPr>
            <w:tcW w:w="2269" w:type="dxa"/>
            <w:shd w:val="clear" w:color="auto" w:fill="auto"/>
          </w:tcPr>
          <w:p w14:paraId="6D6CB6AE" w14:textId="77777777" w:rsidR="009C5EDB" w:rsidRPr="009A19BC" w:rsidRDefault="009C5EDB" w:rsidP="009C5EDB">
            <w:pPr>
              <w:pStyle w:val="Default"/>
              <w:jc w:val="both"/>
              <w:rPr>
                <w:bCs/>
                <w:color w:val="auto"/>
                <w:sz w:val="18"/>
                <w:szCs w:val="18"/>
              </w:rPr>
            </w:pPr>
            <w:r w:rsidRPr="009A19BC">
              <w:rPr>
                <w:bCs/>
                <w:color w:val="auto"/>
                <w:sz w:val="18"/>
                <w:szCs w:val="18"/>
              </w:rPr>
              <w:lastRenderedPageBreak/>
              <w:t>1.5 Exceptional items</w:t>
            </w:r>
          </w:p>
        </w:tc>
        <w:tc>
          <w:tcPr>
            <w:tcW w:w="7053" w:type="dxa"/>
            <w:shd w:val="clear" w:color="auto" w:fill="auto"/>
          </w:tcPr>
          <w:p w14:paraId="7EA91024" w14:textId="77777777" w:rsidR="009C5EDB" w:rsidRPr="00D4056A" w:rsidRDefault="009C5EDB" w:rsidP="009C5EDB">
            <w:pPr>
              <w:pStyle w:val="Default"/>
              <w:rPr>
                <w:bCs/>
                <w:iCs/>
                <w:color w:val="auto"/>
                <w:sz w:val="18"/>
                <w:szCs w:val="18"/>
                <w:lang w:val="en-US"/>
              </w:rPr>
            </w:pPr>
          </w:p>
        </w:tc>
      </w:tr>
      <w:tr w:rsidR="009C5EDB" w:rsidRPr="006C2F02" w14:paraId="66623267" w14:textId="77777777" w:rsidTr="00BF7D94">
        <w:trPr>
          <w:trHeight w:val="210"/>
        </w:trPr>
        <w:tc>
          <w:tcPr>
            <w:tcW w:w="9322" w:type="dxa"/>
            <w:gridSpan w:val="2"/>
            <w:shd w:val="clear" w:color="auto" w:fill="auto"/>
          </w:tcPr>
          <w:p w14:paraId="6020D397" w14:textId="77777777" w:rsidR="009C5EDB" w:rsidRPr="006C459D" w:rsidRDefault="009C5EDB" w:rsidP="009C5EDB">
            <w:pPr>
              <w:spacing w:before="0" w:after="0"/>
              <w:jc w:val="left"/>
              <w:rPr>
                <w:rFonts w:ascii="Calibri" w:hAnsi="Calibri" w:cs="Calibri"/>
                <w:b/>
                <w:bCs/>
                <w:sz w:val="18"/>
                <w:szCs w:val="18"/>
              </w:rPr>
            </w:pPr>
            <w:r>
              <w:rPr>
                <w:rFonts w:ascii="Calibri" w:hAnsi="Calibri" w:cs="Calibri"/>
                <w:b/>
                <w:bCs/>
                <w:sz w:val="18"/>
                <w:szCs w:val="18"/>
              </w:rPr>
              <w:t xml:space="preserve">2.     Detail by service (in nominal terms) </w:t>
            </w:r>
            <w:r w:rsidRPr="001415EC">
              <w:rPr>
                <w:rFonts w:ascii="Calibri" w:hAnsi="Calibri" w:cs="Calibri"/>
                <w:bCs/>
                <w:sz w:val="18"/>
                <w:szCs w:val="18"/>
              </w:rPr>
              <w:t>ANNEX B. REPORTING TABLES (TERMINAL)</w:t>
            </w:r>
          </w:p>
        </w:tc>
      </w:tr>
      <w:tr w:rsidR="009C5EDB" w:rsidRPr="00B4297C" w14:paraId="7D9AD14A" w14:textId="77777777" w:rsidTr="00BF7D94">
        <w:tc>
          <w:tcPr>
            <w:tcW w:w="2269" w:type="dxa"/>
            <w:shd w:val="clear" w:color="auto" w:fill="auto"/>
          </w:tcPr>
          <w:p w14:paraId="60347E7F" w14:textId="77777777" w:rsidR="009C5EDB" w:rsidRPr="009A19BC" w:rsidRDefault="009C5EDB" w:rsidP="009C5EDB">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58E5A940" w14:textId="77777777" w:rsidR="009C5EDB" w:rsidRPr="005E1E3A" w:rsidRDefault="009C5EDB" w:rsidP="009C5EDB">
            <w:pPr>
              <w:pStyle w:val="Default"/>
              <w:jc w:val="both"/>
              <w:rPr>
                <w:bCs/>
                <w:iCs/>
                <w:color w:val="auto"/>
                <w:sz w:val="18"/>
                <w:szCs w:val="18"/>
                <w:lang w:val="en-US"/>
              </w:rPr>
            </w:pPr>
          </w:p>
        </w:tc>
      </w:tr>
      <w:tr w:rsidR="009C5EDB" w:rsidRPr="00CA2B9B" w14:paraId="775C14D0" w14:textId="77777777" w:rsidTr="00BF7D94">
        <w:tc>
          <w:tcPr>
            <w:tcW w:w="2269" w:type="dxa"/>
            <w:shd w:val="clear" w:color="auto" w:fill="auto"/>
          </w:tcPr>
          <w:p w14:paraId="375C0A4E" w14:textId="77777777" w:rsidR="009C5EDB" w:rsidRPr="009A19BC" w:rsidRDefault="009C5EDB" w:rsidP="009C5EDB">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61042714" w14:textId="77777777" w:rsidR="009C5EDB" w:rsidRPr="005E1E3A" w:rsidRDefault="009C5EDB" w:rsidP="009C5EDB">
            <w:pPr>
              <w:pStyle w:val="Default"/>
              <w:rPr>
                <w:bCs/>
                <w:iCs/>
                <w:color w:val="auto"/>
                <w:sz w:val="18"/>
                <w:szCs w:val="18"/>
                <w:lang w:val="en-US"/>
              </w:rPr>
            </w:pPr>
          </w:p>
        </w:tc>
      </w:tr>
      <w:tr w:rsidR="009C5EDB" w:rsidRPr="009D72C7" w14:paraId="13EC2538" w14:textId="77777777" w:rsidTr="00BF7D94">
        <w:tc>
          <w:tcPr>
            <w:tcW w:w="2269" w:type="dxa"/>
            <w:shd w:val="clear" w:color="auto" w:fill="auto"/>
          </w:tcPr>
          <w:p w14:paraId="229754A5" w14:textId="77777777" w:rsidR="009C5EDB" w:rsidRPr="00E60CD7" w:rsidRDefault="009C5EDB" w:rsidP="009C5EDB">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2296F2C5" w14:textId="77777777" w:rsidR="009C5EDB" w:rsidRPr="005E1E3A" w:rsidRDefault="009C5EDB" w:rsidP="009C5EDB">
            <w:pPr>
              <w:pStyle w:val="Default"/>
              <w:jc w:val="both"/>
              <w:rPr>
                <w:bCs/>
                <w:iCs/>
                <w:color w:val="auto"/>
                <w:sz w:val="18"/>
                <w:szCs w:val="18"/>
                <w:lang w:val="en-US"/>
              </w:rPr>
            </w:pPr>
          </w:p>
        </w:tc>
      </w:tr>
      <w:tr w:rsidR="009C5EDB" w:rsidRPr="00425B26" w14:paraId="7AE098B1" w14:textId="77777777" w:rsidTr="00BF7D94">
        <w:tc>
          <w:tcPr>
            <w:tcW w:w="2269" w:type="dxa"/>
            <w:shd w:val="clear" w:color="auto" w:fill="auto"/>
          </w:tcPr>
          <w:p w14:paraId="655C8AEA" w14:textId="77777777" w:rsidR="009C5EDB" w:rsidRPr="009A19BC" w:rsidRDefault="009C5EDB" w:rsidP="009C5EDB">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2A4A2E57" w14:textId="77777777" w:rsidR="009C5EDB" w:rsidRPr="005E1E3A" w:rsidRDefault="009C5EDB" w:rsidP="009C5EDB">
            <w:pPr>
              <w:pStyle w:val="Default"/>
              <w:jc w:val="both"/>
              <w:rPr>
                <w:bCs/>
                <w:iCs/>
                <w:color w:val="auto"/>
                <w:sz w:val="18"/>
                <w:szCs w:val="18"/>
                <w:lang w:val="en-US"/>
              </w:rPr>
            </w:pPr>
          </w:p>
        </w:tc>
      </w:tr>
      <w:tr w:rsidR="009C5EDB" w:rsidRPr="00D4056A" w14:paraId="646C28CC" w14:textId="77777777" w:rsidTr="00BF7D94">
        <w:tc>
          <w:tcPr>
            <w:tcW w:w="2269" w:type="dxa"/>
            <w:shd w:val="clear" w:color="auto" w:fill="auto"/>
          </w:tcPr>
          <w:p w14:paraId="154EBD62" w14:textId="77777777" w:rsidR="009C5EDB" w:rsidRPr="009A19BC" w:rsidRDefault="009C5EDB" w:rsidP="009C5EDB">
            <w:pPr>
              <w:pStyle w:val="Default"/>
              <w:rPr>
                <w:bCs/>
                <w:color w:val="auto"/>
                <w:sz w:val="18"/>
                <w:szCs w:val="18"/>
              </w:rPr>
            </w:pPr>
            <w:r w:rsidRPr="006C459D">
              <w:rPr>
                <w:rFonts w:cs="Calibri"/>
                <w:sz w:val="18"/>
                <w:szCs w:val="18"/>
                <w:lang w:val="fr-BE" w:eastAsia="fr-BE"/>
              </w:rPr>
              <w:t>2.5 Search and rescue</w:t>
            </w:r>
          </w:p>
        </w:tc>
        <w:tc>
          <w:tcPr>
            <w:tcW w:w="7053" w:type="dxa"/>
            <w:shd w:val="clear" w:color="auto" w:fill="auto"/>
          </w:tcPr>
          <w:p w14:paraId="08C40E7B" w14:textId="77777777" w:rsidR="009C5EDB" w:rsidRPr="005E1E3A" w:rsidRDefault="009C5EDB" w:rsidP="009C5EDB">
            <w:pPr>
              <w:pStyle w:val="Default"/>
              <w:rPr>
                <w:bCs/>
                <w:iCs/>
                <w:color w:val="auto"/>
                <w:sz w:val="18"/>
                <w:szCs w:val="18"/>
                <w:lang w:val="en-US"/>
              </w:rPr>
            </w:pPr>
          </w:p>
        </w:tc>
      </w:tr>
      <w:tr w:rsidR="009C5EDB" w:rsidRPr="009D72C7" w14:paraId="69D922D5" w14:textId="77777777" w:rsidTr="00BF7D94">
        <w:tc>
          <w:tcPr>
            <w:tcW w:w="2269" w:type="dxa"/>
            <w:shd w:val="clear" w:color="auto" w:fill="auto"/>
          </w:tcPr>
          <w:p w14:paraId="24660915" w14:textId="77777777" w:rsidR="009C5EDB" w:rsidRPr="00E60CD7" w:rsidRDefault="009C5EDB" w:rsidP="009C5EDB">
            <w:pPr>
              <w:pStyle w:val="Default"/>
              <w:rPr>
                <w:bCs/>
                <w:color w:val="auto"/>
                <w:sz w:val="18"/>
                <w:szCs w:val="18"/>
                <w:lang w:val="en-US"/>
              </w:rPr>
            </w:pPr>
            <w:r w:rsidRPr="006C459D">
              <w:rPr>
                <w:rFonts w:cs="Calibri"/>
                <w:sz w:val="18"/>
                <w:szCs w:val="18"/>
                <w:lang w:val="fr-BE" w:eastAsia="fr-BE"/>
              </w:rPr>
              <w:t>2.6 Aeronautical Information</w:t>
            </w:r>
          </w:p>
        </w:tc>
        <w:tc>
          <w:tcPr>
            <w:tcW w:w="7053" w:type="dxa"/>
            <w:shd w:val="clear" w:color="auto" w:fill="auto"/>
          </w:tcPr>
          <w:p w14:paraId="79771E7A" w14:textId="77777777" w:rsidR="009C5EDB" w:rsidRPr="005E1E3A" w:rsidRDefault="009C5EDB" w:rsidP="009C5EDB">
            <w:pPr>
              <w:pStyle w:val="Default"/>
              <w:jc w:val="both"/>
              <w:rPr>
                <w:bCs/>
                <w:iCs/>
                <w:color w:val="auto"/>
                <w:sz w:val="18"/>
                <w:szCs w:val="18"/>
                <w:lang w:val="en-US"/>
              </w:rPr>
            </w:pPr>
          </w:p>
        </w:tc>
      </w:tr>
      <w:tr w:rsidR="009C5EDB" w:rsidRPr="00425B26" w14:paraId="1FFB5E7B" w14:textId="77777777" w:rsidTr="00BF7D94">
        <w:tc>
          <w:tcPr>
            <w:tcW w:w="2269" w:type="dxa"/>
            <w:shd w:val="clear" w:color="auto" w:fill="auto"/>
          </w:tcPr>
          <w:p w14:paraId="4A1A309A" w14:textId="77777777" w:rsidR="009C5EDB" w:rsidRPr="009A19BC" w:rsidRDefault="009C5EDB" w:rsidP="009C5EDB">
            <w:pPr>
              <w:pStyle w:val="Default"/>
              <w:rPr>
                <w:bCs/>
                <w:color w:val="auto"/>
                <w:sz w:val="18"/>
                <w:szCs w:val="18"/>
              </w:rPr>
            </w:pPr>
            <w:r w:rsidRPr="006C459D">
              <w:rPr>
                <w:rFonts w:cs="Calibri"/>
                <w:sz w:val="18"/>
                <w:szCs w:val="18"/>
                <w:lang w:val="fr-BE" w:eastAsia="fr-BE"/>
              </w:rPr>
              <w:t>2.7 Meteorological services</w:t>
            </w:r>
          </w:p>
        </w:tc>
        <w:tc>
          <w:tcPr>
            <w:tcW w:w="7053" w:type="dxa"/>
            <w:shd w:val="clear" w:color="auto" w:fill="auto"/>
          </w:tcPr>
          <w:p w14:paraId="69C75B02" w14:textId="77777777" w:rsidR="009C5EDB" w:rsidRPr="005E1E3A" w:rsidRDefault="009C5EDB" w:rsidP="009C5EDB">
            <w:pPr>
              <w:pStyle w:val="Default"/>
              <w:jc w:val="both"/>
              <w:rPr>
                <w:bCs/>
                <w:iCs/>
                <w:color w:val="auto"/>
                <w:sz w:val="18"/>
                <w:szCs w:val="18"/>
                <w:lang w:val="en-US"/>
              </w:rPr>
            </w:pPr>
          </w:p>
        </w:tc>
      </w:tr>
      <w:tr w:rsidR="009C5EDB" w:rsidRPr="00D4056A" w14:paraId="33349E25" w14:textId="77777777" w:rsidTr="00BF7D94">
        <w:tc>
          <w:tcPr>
            <w:tcW w:w="2269" w:type="dxa"/>
            <w:shd w:val="clear" w:color="auto" w:fill="auto"/>
          </w:tcPr>
          <w:p w14:paraId="096446BD" w14:textId="77777777" w:rsidR="009C5EDB" w:rsidRPr="009A19BC" w:rsidRDefault="009C5EDB" w:rsidP="009C5EDB">
            <w:pPr>
              <w:pStyle w:val="Default"/>
              <w:rPr>
                <w:bCs/>
                <w:color w:val="auto"/>
                <w:sz w:val="18"/>
                <w:szCs w:val="18"/>
              </w:rPr>
            </w:pPr>
            <w:r w:rsidRPr="006C459D">
              <w:rPr>
                <w:rFonts w:cs="Calibri"/>
                <w:sz w:val="18"/>
                <w:szCs w:val="18"/>
                <w:lang w:val="fr-BE" w:eastAsia="fr-BE"/>
              </w:rPr>
              <w:t>2.8 Supervision costs</w:t>
            </w:r>
          </w:p>
        </w:tc>
        <w:tc>
          <w:tcPr>
            <w:tcW w:w="7053" w:type="dxa"/>
            <w:shd w:val="clear" w:color="auto" w:fill="auto"/>
          </w:tcPr>
          <w:p w14:paraId="66FA8106" w14:textId="77777777" w:rsidR="009C5EDB" w:rsidRPr="005E1E3A" w:rsidRDefault="009C5EDB" w:rsidP="009C5EDB">
            <w:pPr>
              <w:pStyle w:val="Default"/>
              <w:rPr>
                <w:bCs/>
                <w:iCs/>
                <w:color w:val="auto"/>
                <w:sz w:val="18"/>
                <w:szCs w:val="18"/>
                <w:lang w:val="en-US"/>
              </w:rPr>
            </w:pPr>
          </w:p>
        </w:tc>
      </w:tr>
      <w:tr w:rsidR="009C5EDB" w:rsidRPr="009D72C7" w14:paraId="4977E7BD" w14:textId="77777777" w:rsidTr="00BF7D94">
        <w:tc>
          <w:tcPr>
            <w:tcW w:w="2269" w:type="dxa"/>
            <w:shd w:val="clear" w:color="auto" w:fill="auto"/>
          </w:tcPr>
          <w:p w14:paraId="04A3B88D" w14:textId="77777777" w:rsidR="009C5EDB" w:rsidRPr="00E60CD7" w:rsidRDefault="009C5EDB" w:rsidP="009C5EDB">
            <w:pPr>
              <w:pStyle w:val="Default"/>
              <w:rPr>
                <w:bCs/>
                <w:color w:val="auto"/>
                <w:sz w:val="18"/>
                <w:szCs w:val="18"/>
                <w:lang w:val="en-US"/>
              </w:rPr>
            </w:pPr>
            <w:r w:rsidRPr="006C459D">
              <w:rPr>
                <w:rFonts w:cs="Calibri"/>
                <w:sz w:val="18"/>
                <w:szCs w:val="18"/>
                <w:lang w:val="fr-BE" w:eastAsia="fr-BE"/>
              </w:rPr>
              <w:t>2.9 Other State costs</w:t>
            </w:r>
          </w:p>
        </w:tc>
        <w:tc>
          <w:tcPr>
            <w:tcW w:w="7053" w:type="dxa"/>
            <w:shd w:val="clear" w:color="auto" w:fill="auto"/>
          </w:tcPr>
          <w:p w14:paraId="17EBBB2A" w14:textId="77777777" w:rsidR="009C5EDB" w:rsidRPr="005E1E3A" w:rsidRDefault="009C5EDB" w:rsidP="009C5EDB">
            <w:pPr>
              <w:pStyle w:val="Default"/>
              <w:jc w:val="both"/>
              <w:rPr>
                <w:bCs/>
                <w:iCs/>
                <w:color w:val="auto"/>
                <w:sz w:val="18"/>
                <w:szCs w:val="18"/>
                <w:lang w:val="en-US"/>
              </w:rPr>
            </w:pPr>
          </w:p>
        </w:tc>
      </w:tr>
      <w:tr w:rsidR="009C5EDB" w:rsidRPr="006C2F02" w14:paraId="24C4EA3B" w14:textId="77777777" w:rsidTr="00BF7D94">
        <w:trPr>
          <w:trHeight w:val="210"/>
        </w:trPr>
        <w:tc>
          <w:tcPr>
            <w:tcW w:w="9322" w:type="dxa"/>
            <w:gridSpan w:val="2"/>
            <w:shd w:val="clear" w:color="auto" w:fill="auto"/>
          </w:tcPr>
          <w:p w14:paraId="18022151" w14:textId="77777777" w:rsidR="009C5EDB" w:rsidRPr="006C2F02" w:rsidRDefault="009C5EDB" w:rsidP="009C5EDB">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9C5EDB" w:rsidRPr="004D38CC" w14:paraId="7F20BBA9" w14:textId="77777777" w:rsidTr="00BF7D94">
        <w:trPr>
          <w:trHeight w:val="210"/>
        </w:trPr>
        <w:tc>
          <w:tcPr>
            <w:tcW w:w="9322" w:type="dxa"/>
            <w:gridSpan w:val="2"/>
            <w:shd w:val="clear" w:color="auto" w:fill="auto"/>
          </w:tcPr>
          <w:p w14:paraId="315AB00D" w14:textId="77777777" w:rsidR="009C5EDB" w:rsidRPr="004D38CC" w:rsidRDefault="009C5EDB" w:rsidP="009C5EDB">
            <w:pPr>
              <w:pStyle w:val="Default"/>
              <w:rPr>
                <w:b/>
                <w:color w:val="auto"/>
                <w:sz w:val="18"/>
                <w:szCs w:val="18"/>
              </w:rPr>
            </w:pPr>
            <w:r w:rsidRPr="004D38CC">
              <w:rPr>
                <w:bCs/>
                <w:iCs/>
                <w:color w:val="auto"/>
                <w:sz w:val="18"/>
                <w:szCs w:val="18"/>
                <w:lang w:val="en-US"/>
              </w:rPr>
              <w:t>&lt;   &gt;</w:t>
            </w:r>
          </w:p>
        </w:tc>
      </w:tr>
    </w:tbl>
    <w:p w14:paraId="0C5336F5" w14:textId="77777777" w:rsidR="00B9204B" w:rsidRDefault="00B9204B" w:rsidP="00B9204B">
      <w:pPr>
        <w:jc w:val="center"/>
        <w:rPr>
          <w:b/>
          <w:i/>
          <w:lang w:eastAsia="de-DE"/>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B9204B" w:rsidRPr="006C2F02" w14:paraId="37ABEC3C" w14:textId="77777777" w:rsidTr="00BF7D94">
        <w:trPr>
          <w:trHeight w:val="230"/>
        </w:trPr>
        <w:tc>
          <w:tcPr>
            <w:tcW w:w="9322" w:type="dxa"/>
            <w:gridSpan w:val="2"/>
            <w:shd w:val="clear" w:color="auto" w:fill="auto"/>
          </w:tcPr>
          <w:p w14:paraId="6F70063B" w14:textId="4E217F5F" w:rsidR="00B9204B" w:rsidRPr="006C2F02" w:rsidRDefault="00B9204B" w:rsidP="00BF7D94">
            <w:pPr>
              <w:pStyle w:val="Default"/>
              <w:jc w:val="center"/>
              <w:rPr>
                <w:b/>
                <w:color w:val="auto"/>
                <w:sz w:val="18"/>
                <w:szCs w:val="18"/>
              </w:rPr>
            </w:pPr>
            <w:r>
              <w:rPr>
                <w:b/>
                <w:color w:val="auto"/>
                <w:sz w:val="18"/>
                <w:szCs w:val="18"/>
              </w:rPr>
              <w:t>Entity</w:t>
            </w:r>
            <w:r w:rsidRPr="003B2141">
              <w:rPr>
                <w:b/>
                <w:color w:val="auto"/>
                <w:sz w:val="18"/>
                <w:szCs w:val="18"/>
              </w:rPr>
              <w:t>:</w:t>
            </w:r>
            <w:r w:rsidRPr="003B2141">
              <w:rPr>
                <w:b/>
                <w:color w:val="0070C0"/>
                <w:sz w:val="18"/>
                <w:szCs w:val="18"/>
              </w:rPr>
              <w:t xml:space="preserve"> </w:t>
            </w:r>
            <w:proofErr w:type="spellStart"/>
            <w:r w:rsidRPr="003B2141">
              <w:rPr>
                <w:b/>
                <w:color w:val="0070C0"/>
                <w:sz w:val="18"/>
                <w:szCs w:val="18"/>
              </w:rPr>
              <w:t>Avinor</w:t>
            </w:r>
            <w:proofErr w:type="spellEnd"/>
            <w:r w:rsidRPr="003B2141">
              <w:rPr>
                <w:b/>
                <w:color w:val="0070C0"/>
                <w:sz w:val="18"/>
                <w:szCs w:val="18"/>
              </w:rPr>
              <w:t xml:space="preserve"> </w:t>
            </w:r>
            <w:r>
              <w:rPr>
                <w:b/>
                <w:color w:val="0070C0"/>
                <w:sz w:val="18"/>
                <w:szCs w:val="18"/>
              </w:rPr>
              <w:t>Air Navigation Services</w:t>
            </w:r>
            <w:r w:rsidR="00C9049D">
              <w:rPr>
                <w:b/>
                <w:color w:val="0070C0"/>
                <w:sz w:val="18"/>
                <w:szCs w:val="18"/>
              </w:rPr>
              <w:t xml:space="preserve"> (ANS)</w:t>
            </w:r>
          </w:p>
        </w:tc>
      </w:tr>
      <w:tr w:rsidR="00B9204B" w:rsidRPr="006C2F02" w14:paraId="686D17EB" w14:textId="77777777" w:rsidTr="00BF7D94">
        <w:trPr>
          <w:trHeight w:val="210"/>
        </w:trPr>
        <w:tc>
          <w:tcPr>
            <w:tcW w:w="9322" w:type="dxa"/>
            <w:gridSpan w:val="2"/>
            <w:shd w:val="clear" w:color="auto" w:fill="auto"/>
          </w:tcPr>
          <w:p w14:paraId="59929BBA" w14:textId="77777777" w:rsidR="00B9204B" w:rsidRPr="006C459D" w:rsidRDefault="00B9204B" w:rsidP="00BF7D94">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B9204B" w:rsidRPr="003248BC" w14:paraId="0787F3D9" w14:textId="77777777" w:rsidTr="00BF7D94">
        <w:tc>
          <w:tcPr>
            <w:tcW w:w="2269" w:type="dxa"/>
            <w:shd w:val="clear" w:color="auto" w:fill="auto"/>
          </w:tcPr>
          <w:p w14:paraId="3C3B7B0C" w14:textId="77777777" w:rsidR="00B9204B" w:rsidRPr="00530139" w:rsidRDefault="00B9204B" w:rsidP="00BF7D94">
            <w:pPr>
              <w:pStyle w:val="Default"/>
              <w:jc w:val="both"/>
              <w:rPr>
                <w:rFonts w:cs="Arial"/>
                <w:color w:val="auto"/>
                <w:sz w:val="18"/>
                <w:szCs w:val="18"/>
              </w:rPr>
            </w:pPr>
            <w:r w:rsidRPr="00530139">
              <w:rPr>
                <w:rFonts w:cs="Arial"/>
                <w:color w:val="auto"/>
                <w:sz w:val="18"/>
                <w:szCs w:val="18"/>
              </w:rPr>
              <w:t>1.1 Staff costs</w:t>
            </w:r>
          </w:p>
        </w:tc>
        <w:tc>
          <w:tcPr>
            <w:tcW w:w="7053" w:type="dxa"/>
            <w:shd w:val="clear" w:color="auto" w:fill="auto"/>
          </w:tcPr>
          <w:p w14:paraId="70E11624" w14:textId="3C7188D7" w:rsidR="00587914" w:rsidRPr="009D0A33" w:rsidRDefault="00587914" w:rsidP="00587914">
            <w:pPr>
              <w:rPr>
                <w:rFonts w:ascii="Calibri" w:eastAsia="Calibri" w:hAnsi="Calibri" w:cs="Arial"/>
                <w:sz w:val="18"/>
                <w:szCs w:val="18"/>
              </w:rPr>
            </w:pPr>
            <w:r w:rsidRPr="009D0A33">
              <w:rPr>
                <w:rFonts w:ascii="Calibri" w:eastAsia="Calibri" w:hAnsi="Calibri" w:cs="Arial"/>
                <w:sz w:val="18"/>
                <w:szCs w:val="18"/>
              </w:rPr>
              <w:t xml:space="preserve">The pandemic </w:t>
            </w:r>
            <w:r w:rsidR="00684AAF">
              <w:rPr>
                <w:rFonts w:ascii="Calibri" w:eastAsia="Calibri" w:hAnsi="Calibri" w:cs="Arial"/>
                <w:sz w:val="18"/>
                <w:szCs w:val="18"/>
              </w:rPr>
              <w:t xml:space="preserve">has </w:t>
            </w:r>
            <w:r w:rsidRPr="009D0A33">
              <w:rPr>
                <w:rFonts w:ascii="Calibri" w:eastAsia="Calibri" w:hAnsi="Calibri" w:cs="Arial"/>
                <w:sz w:val="18"/>
                <w:szCs w:val="18"/>
              </w:rPr>
              <w:t xml:space="preserve">dramatically changed the situation for aviation in Norway during the last year. Even though traffic levels have been higher in Norway than in many other European countries, due to the Norwegian dependence on national air traffic, the reduction in 2020 was 42 % for IFR movements and 50 % for </w:t>
            </w:r>
            <w:proofErr w:type="spellStart"/>
            <w:r w:rsidRPr="009D0A33">
              <w:rPr>
                <w:rFonts w:ascii="Calibri" w:eastAsia="Calibri" w:hAnsi="Calibri" w:cs="Arial"/>
                <w:sz w:val="18"/>
                <w:szCs w:val="18"/>
              </w:rPr>
              <w:t>en</w:t>
            </w:r>
            <w:proofErr w:type="spellEnd"/>
            <w:r w:rsidRPr="009D0A33">
              <w:rPr>
                <w:rFonts w:ascii="Calibri" w:eastAsia="Calibri" w:hAnsi="Calibri" w:cs="Arial"/>
                <w:sz w:val="18"/>
                <w:szCs w:val="18"/>
              </w:rPr>
              <w:t xml:space="preserve">-route service units. Stringent restrictions on international travel have however led to almost an absence of international flights to and from Norway during large parts of 2020 and 2021. </w:t>
            </w:r>
          </w:p>
          <w:p w14:paraId="061B49E2" w14:textId="0E89349F" w:rsidR="00587914" w:rsidRPr="009D0A33" w:rsidRDefault="00587914" w:rsidP="00587914">
            <w:pPr>
              <w:rPr>
                <w:rFonts w:ascii="Calibri" w:eastAsia="Calibri" w:hAnsi="Calibri" w:cs="Arial"/>
                <w:sz w:val="18"/>
                <w:szCs w:val="18"/>
              </w:rPr>
            </w:pPr>
            <w:r w:rsidRPr="009D0A33">
              <w:rPr>
                <w:rFonts w:ascii="Calibri" w:eastAsia="Calibri" w:hAnsi="Calibri" w:cs="Arial"/>
                <w:sz w:val="18"/>
                <w:szCs w:val="18"/>
              </w:rPr>
              <w:t xml:space="preserve">Already before the pandemic, </w:t>
            </w:r>
            <w:r w:rsidR="00684AAF">
              <w:rPr>
                <w:rFonts w:ascii="Calibri" w:eastAsia="Calibri" w:hAnsi="Calibri" w:cs="Arial"/>
                <w:sz w:val="18"/>
                <w:szCs w:val="18"/>
              </w:rPr>
              <w:t xml:space="preserve">during </w:t>
            </w:r>
            <w:r w:rsidRPr="009D0A33">
              <w:rPr>
                <w:rFonts w:ascii="Calibri" w:eastAsia="Calibri" w:hAnsi="Calibri" w:cs="Arial"/>
                <w:sz w:val="18"/>
                <w:szCs w:val="18"/>
              </w:rPr>
              <w:t xml:space="preserve">autumn 2019,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ANS had initiated a reorganisation of administrative units, resulting in a 30 % reduction in administrative and support staff (40 FTEs), with effect from </w:t>
            </w:r>
            <w:r>
              <w:rPr>
                <w:rFonts w:ascii="Calibri" w:eastAsia="Calibri" w:hAnsi="Calibri" w:cs="Arial"/>
                <w:sz w:val="18"/>
                <w:szCs w:val="18"/>
              </w:rPr>
              <w:t>late 2019/early 2020.</w:t>
            </w:r>
            <w:r w:rsidRPr="009D0A33">
              <w:rPr>
                <w:rFonts w:ascii="Calibri" w:eastAsia="Calibri" w:hAnsi="Calibri" w:cs="Arial"/>
                <w:sz w:val="18"/>
                <w:szCs w:val="18"/>
              </w:rPr>
              <w:t xml:space="preserve"> </w:t>
            </w:r>
            <w:proofErr w:type="gramStart"/>
            <w:r w:rsidRPr="009D0A33">
              <w:rPr>
                <w:rFonts w:ascii="Calibri" w:eastAsia="Calibri" w:hAnsi="Calibri" w:cs="Arial"/>
                <w:sz w:val="18"/>
                <w:szCs w:val="18"/>
              </w:rPr>
              <w:t>As a consequence</w:t>
            </w:r>
            <w:proofErr w:type="gramEnd"/>
            <w:r w:rsidRPr="009D0A33">
              <w:rPr>
                <w:rFonts w:ascii="Calibri" w:eastAsia="Calibri" w:hAnsi="Calibri" w:cs="Arial"/>
                <w:sz w:val="18"/>
                <w:szCs w:val="18"/>
              </w:rPr>
              <w:t xml:space="preserve">,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ANS entered </w:t>
            </w:r>
            <w:r w:rsidR="009D005F">
              <w:rPr>
                <w:rFonts w:ascii="Calibri" w:eastAsia="Calibri" w:hAnsi="Calibri" w:cs="Arial"/>
                <w:sz w:val="18"/>
                <w:szCs w:val="18"/>
              </w:rPr>
              <w:t>2020</w:t>
            </w:r>
            <w:r w:rsidRPr="009D0A33">
              <w:rPr>
                <w:rFonts w:ascii="Calibri" w:eastAsia="Calibri" w:hAnsi="Calibri" w:cs="Arial"/>
                <w:sz w:val="18"/>
                <w:szCs w:val="18"/>
              </w:rPr>
              <w:t xml:space="preserve"> with a slimmer and more efficient support staff.  </w:t>
            </w:r>
          </w:p>
          <w:p w14:paraId="5FEE1EAB" w14:textId="29B86F5E" w:rsidR="00587914" w:rsidRPr="009D0A33" w:rsidRDefault="00587914" w:rsidP="00587914">
            <w:pPr>
              <w:rPr>
                <w:rFonts w:ascii="Calibri" w:eastAsia="Calibri" w:hAnsi="Calibri" w:cs="Arial"/>
                <w:sz w:val="18"/>
                <w:szCs w:val="18"/>
              </w:rPr>
            </w:pPr>
            <w:r w:rsidRPr="009D0A33">
              <w:rPr>
                <w:rFonts w:ascii="Calibri" w:eastAsia="Calibri" w:hAnsi="Calibri" w:cs="Arial"/>
                <w:sz w:val="18"/>
                <w:szCs w:val="18"/>
              </w:rPr>
              <w:t xml:space="preserve">When the pandemic struck the market in spring 2020,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ANS responded to the traffic downturn with </w:t>
            </w:r>
            <w:proofErr w:type="gramStart"/>
            <w:r w:rsidRPr="009D0A33">
              <w:rPr>
                <w:rFonts w:ascii="Calibri" w:eastAsia="Calibri" w:hAnsi="Calibri" w:cs="Arial"/>
                <w:sz w:val="18"/>
                <w:szCs w:val="18"/>
              </w:rPr>
              <w:t>a number of</w:t>
            </w:r>
            <w:proofErr w:type="gramEnd"/>
            <w:r w:rsidRPr="009D0A33">
              <w:rPr>
                <w:rFonts w:ascii="Calibri" w:eastAsia="Calibri" w:hAnsi="Calibri" w:cs="Arial"/>
                <w:sz w:val="18"/>
                <w:szCs w:val="18"/>
              </w:rPr>
              <w:t xml:space="preserve"> furloughs both in operational and support units. The furloughs have been ranging from 10 % to 100 %</w:t>
            </w:r>
            <w:r w:rsidR="00684AAF">
              <w:rPr>
                <w:rFonts w:ascii="Calibri" w:eastAsia="Calibri" w:hAnsi="Calibri" w:cs="Arial"/>
                <w:sz w:val="18"/>
                <w:szCs w:val="18"/>
              </w:rPr>
              <w:t xml:space="preserve"> of staff at the units</w:t>
            </w:r>
            <w:r w:rsidRPr="009D0A33">
              <w:rPr>
                <w:rFonts w:ascii="Calibri" w:eastAsia="Calibri" w:hAnsi="Calibri" w:cs="Arial"/>
                <w:sz w:val="18"/>
                <w:szCs w:val="18"/>
              </w:rPr>
              <w:t xml:space="preserve">, in the operational units mostly 100 %. During the last year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ANS has also entered voluntary redundancy agreements to reduce the number of staff permanently.</w:t>
            </w:r>
          </w:p>
          <w:p w14:paraId="4D1B6F78" w14:textId="77777777" w:rsidR="00587914" w:rsidRPr="009D0A33" w:rsidRDefault="00587914" w:rsidP="00587914">
            <w:pPr>
              <w:rPr>
                <w:rFonts w:ascii="Calibri" w:eastAsia="Calibri" w:hAnsi="Calibri" w:cs="Arial"/>
                <w:sz w:val="18"/>
                <w:szCs w:val="18"/>
              </w:rPr>
            </w:pPr>
            <w:r w:rsidRPr="009D0A33">
              <w:rPr>
                <w:rFonts w:ascii="Calibri" w:eastAsia="Calibri" w:hAnsi="Calibri" w:cs="Arial"/>
                <w:sz w:val="18"/>
                <w:szCs w:val="18"/>
              </w:rPr>
              <w:t xml:space="preserve">In addition, salaries have been </w:t>
            </w:r>
            <w:r>
              <w:rPr>
                <w:rFonts w:ascii="Calibri" w:eastAsia="Calibri" w:hAnsi="Calibri" w:cs="Arial"/>
                <w:sz w:val="18"/>
                <w:szCs w:val="18"/>
              </w:rPr>
              <w:t xml:space="preserve">temporarily </w:t>
            </w:r>
            <w:r w:rsidRPr="009D0A33">
              <w:rPr>
                <w:rFonts w:ascii="Calibri" w:eastAsia="Calibri" w:hAnsi="Calibri" w:cs="Arial"/>
                <w:sz w:val="18"/>
                <w:szCs w:val="18"/>
              </w:rPr>
              <w:t xml:space="preserve">reduced for management, and variable cost items, such as overtime, travel and consultancy fees have been considerably reduced as a direct response to traffic and revenue shortfall. ATCO training has been paused until the uncertainty in the traffic forecast is reduced. </w:t>
            </w:r>
          </w:p>
          <w:p w14:paraId="30903745" w14:textId="395BDB3F" w:rsidR="00587914" w:rsidRPr="009D0A33" w:rsidRDefault="00587914" w:rsidP="00587914">
            <w:pPr>
              <w:rPr>
                <w:rFonts w:ascii="Calibri" w:eastAsia="Calibri" w:hAnsi="Calibri" w:cs="Arial"/>
                <w:sz w:val="18"/>
                <w:szCs w:val="18"/>
              </w:rPr>
            </w:pPr>
            <w:r w:rsidRPr="009D0A33">
              <w:rPr>
                <w:rFonts w:ascii="Calibri" w:eastAsia="Calibri" w:hAnsi="Calibri" w:cs="Arial"/>
                <w:sz w:val="18"/>
                <w:szCs w:val="18"/>
              </w:rPr>
              <w:t xml:space="preserve">The Norwegian government has implemented </w:t>
            </w:r>
            <w:proofErr w:type="gramStart"/>
            <w:r w:rsidRPr="009D0A33">
              <w:rPr>
                <w:rFonts w:ascii="Calibri" w:eastAsia="Calibri" w:hAnsi="Calibri" w:cs="Arial"/>
                <w:sz w:val="18"/>
                <w:szCs w:val="18"/>
              </w:rPr>
              <w:t>a number of</w:t>
            </w:r>
            <w:proofErr w:type="gramEnd"/>
            <w:r w:rsidRPr="009D0A33">
              <w:rPr>
                <w:rFonts w:ascii="Calibri" w:eastAsia="Calibri" w:hAnsi="Calibri" w:cs="Arial"/>
                <w:sz w:val="18"/>
                <w:szCs w:val="18"/>
              </w:rPr>
              <w:t xml:space="preserve"> measures to help businesses hard hit by the pandemic. Norwegian companies’ right to furlough staff was expanded during 2020, through an act passed by the Norwegian </w:t>
            </w:r>
            <w:r w:rsidR="00684AAF">
              <w:rPr>
                <w:rFonts w:ascii="Calibri" w:eastAsia="Calibri" w:hAnsi="Calibri" w:cs="Arial"/>
                <w:sz w:val="18"/>
                <w:szCs w:val="18"/>
              </w:rPr>
              <w:t>g</w:t>
            </w:r>
            <w:r w:rsidRPr="009D0A33">
              <w:rPr>
                <w:rFonts w:ascii="Calibri" w:eastAsia="Calibri" w:hAnsi="Calibri" w:cs="Arial"/>
                <w:sz w:val="18"/>
                <w:szCs w:val="18"/>
              </w:rPr>
              <w:t xml:space="preserve">overnment, to allow businesses negatively impacted by Covid-19 to adjust cost to revenue shortfalls and to avoid severe adverse effects on employment. Under normal circumstances the right to furlough is limited to six </w:t>
            </w:r>
            <w:proofErr w:type="gramStart"/>
            <w:r w:rsidRPr="009D0A33">
              <w:rPr>
                <w:rFonts w:ascii="Calibri" w:eastAsia="Calibri" w:hAnsi="Calibri" w:cs="Arial"/>
                <w:sz w:val="18"/>
                <w:szCs w:val="18"/>
              </w:rPr>
              <w:t>months, but</w:t>
            </w:r>
            <w:proofErr w:type="gramEnd"/>
            <w:r w:rsidRPr="009D0A33">
              <w:rPr>
                <w:rFonts w:ascii="Calibri" w:eastAsia="Calibri" w:hAnsi="Calibri" w:cs="Arial"/>
                <w:sz w:val="18"/>
                <w:szCs w:val="18"/>
              </w:rPr>
              <w:t xml:space="preserve"> was expanded to 18 months under the Covid circumstances. There is an ongoing process in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ANS to evaluate and decide on cost efficiency measures after the furlough period ends. </w:t>
            </w:r>
          </w:p>
          <w:p w14:paraId="27A52264" w14:textId="13F6CABE" w:rsidR="00587914" w:rsidRPr="009D0A33" w:rsidRDefault="00587914" w:rsidP="00587914">
            <w:pPr>
              <w:rPr>
                <w:rFonts w:ascii="Calibri" w:eastAsia="Calibri" w:hAnsi="Calibri" w:cs="Arial"/>
                <w:sz w:val="18"/>
                <w:szCs w:val="18"/>
              </w:rPr>
            </w:pP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AS (mother company of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ANS) has received financial support from its owner (The Norwegian </w:t>
            </w:r>
            <w:r w:rsidR="00311682" w:rsidRPr="009D0A33">
              <w:rPr>
                <w:rFonts w:ascii="Calibri" w:eastAsia="Calibri" w:hAnsi="Calibri" w:cs="Arial"/>
                <w:sz w:val="18"/>
                <w:szCs w:val="18"/>
              </w:rPr>
              <w:t xml:space="preserve">Ministry </w:t>
            </w:r>
            <w:r w:rsidR="00311682">
              <w:rPr>
                <w:rFonts w:ascii="Calibri" w:eastAsia="Calibri" w:hAnsi="Calibri" w:cs="Arial"/>
                <w:sz w:val="18"/>
                <w:szCs w:val="18"/>
              </w:rPr>
              <w:t xml:space="preserve">of </w:t>
            </w:r>
            <w:r w:rsidRPr="009D0A33">
              <w:rPr>
                <w:rFonts w:ascii="Calibri" w:eastAsia="Calibri" w:hAnsi="Calibri" w:cs="Arial"/>
                <w:sz w:val="18"/>
                <w:szCs w:val="18"/>
              </w:rPr>
              <w:t xml:space="preserve">Transport) in 2020. There is an ongoing dialogue between </w:t>
            </w:r>
            <w:proofErr w:type="spellStart"/>
            <w:r w:rsidRPr="009D0A33">
              <w:rPr>
                <w:rFonts w:ascii="Calibri" w:eastAsia="Calibri" w:hAnsi="Calibri" w:cs="Arial"/>
                <w:sz w:val="18"/>
                <w:szCs w:val="18"/>
              </w:rPr>
              <w:t>Avinor</w:t>
            </w:r>
            <w:proofErr w:type="spellEnd"/>
            <w:r w:rsidRPr="009D0A33">
              <w:rPr>
                <w:rFonts w:ascii="Calibri" w:eastAsia="Calibri" w:hAnsi="Calibri" w:cs="Arial"/>
                <w:sz w:val="18"/>
                <w:szCs w:val="18"/>
              </w:rPr>
              <w:t xml:space="preserve"> and </w:t>
            </w:r>
            <w:r w:rsidRPr="009D0A33">
              <w:rPr>
                <w:rFonts w:ascii="Calibri" w:eastAsia="Calibri" w:hAnsi="Calibri" w:cs="Arial"/>
                <w:sz w:val="18"/>
                <w:szCs w:val="18"/>
              </w:rPr>
              <w:lastRenderedPageBreak/>
              <w:t xml:space="preserve">the Ministry </w:t>
            </w:r>
            <w:r>
              <w:rPr>
                <w:rFonts w:ascii="Calibri" w:eastAsia="Calibri" w:hAnsi="Calibri" w:cs="Arial"/>
                <w:sz w:val="18"/>
                <w:szCs w:val="18"/>
              </w:rPr>
              <w:t xml:space="preserve">of Transport </w:t>
            </w:r>
            <w:r w:rsidRPr="009D0A33">
              <w:rPr>
                <w:rFonts w:ascii="Calibri" w:eastAsia="Calibri" w:hAnsi="Calibri" w:cs="Arial"/>
                <w:sz w:val="18"/>
                <w:szCs w:val="18"/>
              </w:rPr>
              <w:t xml:space="preserve">to decide on the impact of this support on the level of the charges in 2023 onwards.  </w:t>
            </w:r>
          </w:p>
          <w:p w14:paraId="356890CE" w14:textId="40B46C5D" w:rsidR="00B9204B" w:rsidRPr="00587914" w:rsidRDefault="009D005F" w:rsidP="00587914">
            <w:pPr>
              <w:rPr>
                <w:rFonts w:ascii="Calibri" w:eastAsia="Calibri" w:hAnsi="Calibri" w:cs="Arial"/>
                <w:sz w:val="18"/>
                <w:szCs w:val="18"/>
              </w:rPr>
            </w:pPr>
            <w:proofErr w:type="spellStart"/>
            <w:r>
              <w:rPr>
                <w:rFonts w:ascii="Calibri" w:eastAsia="Calibri" w:hAnsi="Calibri" w:cs="Arial"/>
                <w:sz w:val="18"/>
                <w:szCs w:val="18"/>
              </w:rPr>
              <w:t>Avinor</w:t>
            </w:r>
            <w:proofErr w:type="spellEnd"/>
            <w:r>
              <w:rPr>
                <w:rFonts w:ascii="Calibri" w:eastAsia="Calibri" w:hAnsi="Calibri" w:cs="Arial"/>
                <w:sz w:val="18"/>
                <w:szCs w:val="18"/>
              </w:rPr>
              <w:t xml:space="preserve"> reports that</w:t>
            </w:r>
            <w:r w:rsidRPr="009D0A33">
              <w:rPr>
                <w:rFonts w:ascii="Calibri" w:eastAsia="Calibri" w:hAnsi="Calibri" w:cs="Arial"/>
                <w:sz w:val="18"/>
                <w:szCs w:val="18"/>
              </w:rPr>
              <w:t xml:space="preserve"> </w:t>
            </w:r>
            <w:r w:rsidR="00587914" w:rsidRPr="009D0A33">
              <w:rPr>
                <w:rFonts w:ascii="Calibri" w:eastAsia="Calibri" w:hAnsi="Calibri" w:cs="Arial"/>
                <w:sz w:val="18"/>
                <w:szCs w:val="18"/>
              </w:rPr>
              <w:t xml:space="preserve">cost development in the medium and longer term will be driven by the gradual return to normal traffic volumes. </w:t>
            </w:r>
            <w:proofErr w:type="gramStart"/>
            <w:r w:rsidR="00587914" w:rsidRPr="009D0A33">
              <w:rPr>
                <w:rFonts w:ascii="Calibri" w:eastAsia="Calibri" w:hAnsi="Calibri" w:cs="Arial"/>
                <w:sz w:val="18"/>
                <w:szCs w:val="18"/>
              </w:rPr>
              <w:t>A number of</w:t>
            </w:r>
            <w:proofErr w:type="gramEnd"/>
            <w:r w:rsidR="00587914" w:rsidRPr="009D0A33">
              <w:rPr>
                <w:rFonts w:ascii="Calibri" w:eastAsia="Calibri" w:hAnsi="Calibri" w:cs="Arial"/>
                <w:sz w:val="18"/>
                <w:szCs w:val="18"/>
              </w:rPr>
              <w:t xml:space="preserve"> cost containment measures are established and followed up through a cost containment programme. The traffic situation is continuously </w:t>
            </w:r>
            <w:proofErr w:type="gramStart"/>
            <w:r w:rsidR="00587914" w:rsidRPr="009D0A33">
              <w:rPr>
                <w:rFonts w:ascii="Calibri" w:eastAsia="Calibri" w:hAnsi="Calibri" w:cs="Arial"/>
                <w:sz w:val="18"/>
                <w:szCs w:val="18"/>
              </w:rPr>
              <w:t>monitored</w:t>
            </w:r>
            <w:proofErr w:type="gramEnd"/>
            <w:r w:rsidR="00587914" w:rsidRPr="009D0A33">
              <w:rPr>
                <w:rFonts w:ascii="Calibri" w:eastAsia="Calibri" w:hAnsi="Calibri" w:cs="Arial"/>
                <w:sz w:val="18"/>
                <w:szCs w:val="18"/>
              </w:rPr>
              <w:t xml:space="preserve"> and all measures are balanced against the capacity to meet the expected traffic increase in the coming months/years. </w:t>
            </w:r>
          </w:p>
        </w:tc>
      </w:tr>
      <w:tr w:rsidR="00B9204B" w:rsidRPr="00CA2B9B" w14:paraId="2483A626" w14:textId="77777777" w:rsidTr="00BF7D94">
        <w:tc>
          <w:tcPr>
            <w:tcW w:w="2269" w:type="dxa"/>
            <w:shd w:val="clear" w:color="auto" w:fill="auto"/>
          </w:tcPr>
          <w:p w14:paraId="05A28A7A" w14:textId="77777777" w:rsidR="00B9204B" w:rsidRPr="009A19BC" w:rsidRDefault="00B9204B" w:rsidP="00BF7D94">
            <w:pPr>
              <w:pStyle w:val="Default"/>
              <w:jc w:val="both"/>
              <w:rPr>
                <w:bCs/>
                <w:color w:val="auto"/>
                <w:sz w:val="18"/>
                <w:szCs w:val="18"/>
              </w:rPr>
            </w:pPr>
            <w:r w:rsidRPr="004D38CC">
              <w:rPr>
                <w:bCs/>
                <w:color w:val="auto"/>
                <w:sz w:val="18"/>
                <w:szCs w:val="18"/>
                <w:lang w:val="en-US"/>
              </w:rPr>
              <w:lastRenderedPageBreak/>
              <w:t xml:space="preserve">    </w:t>
            </w:r>
            <w:r w:rsidRPr="00C93E84">
              <w:rPr>
                <w:bCs/>
                <w:color w:val="auto"/>
                <w:sz w:val="18"/>
                <w:szCs w:val="18"/>
              </w:rPr>
              <w:t>of which, pension costs</w:t>
            </w:r>
          </w:p>
        </w:tc>
        <w:tc>
          <w:tcPr>
            <w:tcW w:w="7053" w:type="dxa"/>
            <w:shd w:val="clear" w:color="auto" w:fill="auto"/>
          </w:tcPr>
          <w:p w14:paraId="7034613F" w14:textId="61A83B8F" w:rsidR="00B9204B" w:rsidRPr="00230EF5" w:rsidRDefault="00B9204B" w:rsidP="00BF7D94">
            <w:pPr>
              <w:pStyle w:val="Default"/>
              <w:rPr>
                <w:bCs/>
                <w:iCs/>
                <w:color w:val="auto"/>
                <w:sz w:val="18"/>
                <w:szCs w:val="18"/>
                <w:lang w:val="en-US"/>
              </w:rPr>
            </w:pPr>
            <w:r w:rsidRPr="00230EF5">
              <w:rPr>
                <w:bCs/>
                <w:iCs/>
                <w:color w:val="auto"/>
                <w:sz w:val="18"/>
                <w:szCs w:val="18"/>
                <w:lang w:val="en-US"/>
              </w:rPr>
              <w:t>Pension costs are included in the total staff costs.</w:t>
            </w:r>
            <w:r w:rsidR="00C9049D">
              <w:rPr>
                <w:bCs/>
                <w:iCs/>
                <w:color w:val="auto"/>
                <w:sz w:val="18"/>
                <w:szCs w:val="18"/>
                <w:lang w:val="en-US"/>
              </w:rPr>
              <w:t xml:space="preserve"> A</w:t>
            </w:r>
            <w:r w:rsidR="00C9049D" w:rsidRPr="00230EF5">
              <w:rPr>
                <w:bCs/>
                <w:iCs/>
                <w:color w:val="auto"/>
                <w:sz w:val="18"/>
                <w:szCs w:val="18"/>
                <w:lang w:val="en-US"/>
              </w:rPr>
              <w:t xml:space="preserve">lmost all staff </w:t>
            </w:r>
            <w:r w:rsidR="00C9049D">
              <w:rPr>
                <w:bCs/>
                <w:iCs/>
                <w:color w:val="auto"/>
                <w:sz w:val="18"/>
                <w:szCs w:val="18"/>
                <w:lang w:val="en-US"/>
              </w:rPr>
              <w:t xml:space="preserve">and pension costs </w:t>
            </w:r>
            <w:r w:rsidR="00C9049D" w:rsidRPr="00230EF5">
              <w:rPr>
                <w:bCs/>
                <w:iCs/>
                <w:color w:val="auto"/>
                <w:sz w:val="18"/>
                <w:szCs w:val="18"/>
                <w:lang w:val="en-US"/>
              </w:rPr>
              <w:t xml:space="preserve">originate from </w:t>
            </w:r>
            <w:proofErr w:type="spellStart"/>
            <w:r w:rsidR="00C9049D" w:rsidRPr="00230EF5">
              <w:rPr>
                <w:bCs/>
                <w:iCs/>
                <w:color w:val="auto"/>
                <w:sz w:val="18"/>
                <w:szCs w:val="18"/>
                <w:lang w:val="en-US"/>
              </w:rPr>
              <w:t>Avinor</w:t>
            </w:r>
            <w:proofErr w:type="spellEnd"/>
            <w:r w:rsidR="00C9049D" w:rsidRPr="00230EF5">
              <w:rPr>
                <w:bCs/>
                <w:iCs/>
                <w:color w:val="auto"/>
                <w:sz w:val="18"/>
                <w:szCs w:val="18"/>
                <w:lang w:val="en-US"/>
              </w:rPr>
              <w:t xml:space="preserve"> ANS.</w:t>
            </w:r>
          </w:p>
        </w:tc>
      </w:tr>
      <w:tr w:rsidR="00B9204B" w:rsidRPr="00CA2B9B" w14:paraId="16082796" w14:textId="77777777" w:rsidTr="00BF7D94">
        <w:tc>
          <w:tcPr>
            <w:tcW w:w="2269" w:type="dxa"/>
            <w:shd w:val="clear" w:color="auto" w:fill="auto"/>
          </w:tcPr>
          <w:p w14:paraId="6989C7CF" w14:textId="77777777" w:rsidR="00B9204B" w:rsidRPr="009A19BC" w:rsidRDefault="00B9204B" w:rsidP="00BF7D94">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25F3D391" w14:textId="3FEF39B4" w:rsidR="00B9204B" w:rsidRPr="00530F83" w:rsidRDefault="00587914" w:rsidP="00BF7D94">
            <w:pPr>
              <w:pStyle w:val="Default"/>
              <w:rPr>
                <w:bCs/>
                <w:iCs/>
                <w:color w:val="auto"/>
                <w:sz w:val="18"/>
                <w:szCs w:val="18"/>
                <w:highlight w:val="yellow"/>
                <w:lang w:val="en-US"/>
              </w:rPr>
            </w:pPr>
            <w:r>
              <w:rPr>
                <w:rFonts w:cs="Arial"/>
                <w:color w:val="auto"/>
                <w:sz w:val="18"/>
                <w:szCs w:val="18"/>
              </w:rPr>
              <w:t xml:space="preserve">Please see 1.1. </w:t>
            </w:r>
          </w:p>
        </w:tc>
      </w:tr>
      <w:tr w:rsidR="00B9204B" w:rsidRPr="009D72C7" w14:paraId="1AB11DB1" w14:textId="77777777" w:rsidTr="00BF7D94">
        <w:tc>
          <w:tcPr>
            <w:tcW w:w="2269" w:type="dxa"/>
            <w:shd w:val="clear" w:color="auto" w:fill="auto"/>
          </w:tcPr>
          <w:p w14:paraId="51E36B06" w14:textId="77777777" w:rsidR="00B9204B" w:rsidRPr="00E60CD7" w:rsidRDefault="00B9204B" w:rsidP="00BF7D94">
            <w:pPr>
              <w:pStyle w:val="Default"/>
              <w:jc w:val="both"/>
              <w:rPr>
                <w:bCs/>
                <w:color w:val="auto"/>
                <w:sz w:val="18"/>
                <w:szCs w:val="18"/>
                <w:lang w:val="en-US"/>
              </w:rPr>
            </w:pPr>
            <w:r w:rsidRPr="00E60CD7">
              <w:rPr>
                <w:bCs/>
                <w:color w:val="auto"/>
                <w:sz w:val="18"/>
                <w:szCs w:val="18"/>
                <w:lang w:val="en-US"/>
              </w:rPr>
              <w:t>1.3 Depreciation</w:t>
            </w:r>
          </w:p>
        </w:tc>
        <w:tc>
          <w:tcPr>
            <w:tcW w:w="7053" w:type="dxa"/>
            <w:shd w:val="clear" w:color="auto" w:fill="auto"/>
          </w:tcPr>
          <w:p w14:paraId="697976FA" w14:textId="71F67A6B" w:rsidR="00400808" w:rsidRPr="00943A2F" w:rsidRDefault="00400808" w:rsidP="00BF7D94">
            <w:pPr>
              <w:pStyle w:val="Default"/>
              <w:jc w:val="both"/>
              <w:rPr>
                <w:bCs/>
                <w:iCs/>
                <w:color w:val="auto"/>
                <w:sz w:val="18"/>
                <w:szCs w:val="18"/>
              </w:rPr>
            </w:pPr>
            <w:r w:rsidRPr="00943A2F">
              <w:rPr>
                <w:rFonts w:cs="Arial"/>
                <w:color w:val="auto"/>
                <w:sz w:val="18"/>
                <w:szCs w:val="18"/>
              </w:rPr>
              <w:t xml:space="preserve">Depreciation on assets owned by </w:t>
            </w:r>
            <w:proofErr w:type="spellStart"/>
            <w:r w:rsidRPr="00943A2F">
              <w:rPr>
                <w:rFonts w:cs="Arial"/>
                <w:color w:val="auto"/>
                <w:sz w:val="18"/>
                <w:szCs w:val="18"/>
              </w:rPr>
              <w:t>Avinor</w:t>
            </w:r>
            <w:proofErr w:type="spellEnd"/>
            <w:r w:rsidRPr="00943A2F">
              <w:rPr>
                <w:rFonts w:cs="Arial"/>
                <w:color w:val="auto"/>
                <w:sz w:val="18"/>
                <w:szCs w:val="18"/>
              </w:rPr>
              <w:t xml:space="preserve"> ANS </w:t>
            </w:r>
            <w:r w:rsidRPr="00943A2F">
              <w:rPr>
                <w:bCs/>
                <w:iCs/>
                <w:color w:val="auto"/>
                <w:sz w:val="18"/>
                <w:szCs w:val="18"/>
              </w:rPr>
              <w:t>is increasing due to</w:t>
            </w:r>
            <w:r w:rsidR="00DF4D39" w:rsidRPr="00943A2F">
              <w:rPr>
                <w:bCs/>
                <w:iCs/>
                <w:color w:val="auto"/>
                <w:sz w:val="18"/>
                <w:szCs w:val="18"/>
              </w:rPr>
              <w:t xml:space="preserve"> reallocating assets according to the service the asset is supporting. </w:t>
            </w:r>
            <w:r w:rsidRPr="00943A2F">
              <w:rPr>
                <w:bCs/>
                <w:iCs/>
                <w:color w:val="auto"/>
                <w:sz w:val="18"/>
                <w:szCs w:val="18"/>
              </w:rPr>
              <w:t xml:space="preserve"> </w:t>
            </w:r>
          </w:p>
          <w:p w14:paraId="7F385371" w14:textId="77777777" w:rsidR="00400808" w:rsidRPr="00943A2F" w:rsidRDefault="00400808" w:rsidP="00BF7D94">
            <w:pPr>
              <w:pStyle w:val="Default"/>
              <w:jc w:val="both"/>
              <w:rPr>
                <w:bCs/>
                <w:iCs/>
                <w:color w:val="00B0F0"/>
                <w:sz w:val="18"/>
                <w:szCs w:val="18"/>
                <w:highlight w:val="yellow"/>
              </w:rPr>
            </w:pPr>
          </w:p>
          <w:p w14:paraId="3B006F0D" w14:textId="37C4C269" w:rsidR="00B9204B" w:rsidRPr="00530F83" w:rsidRDefault="005F7EBB" w:rsidP="00BF7D94">
            <w:pPr>
              <w:pStyle w:val="Default"/>
              <w:jc w:val="both"/>
              <w:rPr>
                <w:rFonts w:cs="Arial"/>
                <w:color w:val="auto"/>
                <w:sz w:val="18"/>
                <w:szCs w:val="18"/>
              </w:rPr>
            </w:pPr>
            <w:proofErr w:type="spellStart"/>
            <w:r w:rsidRPr="00943A2F">
              <w:rPr>
                <w:rFonts w:cs="Arial"/>
                <w:color w:val="auto"/>
                <w:sz w:val="18"/>
                <w:szCs w:val="18"/>
              </w:rPr>
              <w:t>Avinor</w:t>
            </w:r>
            <w:proofErr w:type="spellEnd"/>
            <w:r w:rsidRPr="00943A2F">
              <w:rPr>
                <w:rFonts w:cs="Arial"/>
                <w:color w:val="auto"/>
                <w:sz w:val="18"/>
                <w:szCs w:val="18"/>
              </w:rPr>
              <w:t xml:space="preserve"> AS is the owner of most asset</w:t>
            </w:r>
            <w:r w:rsidR="00684AAF">
              <w:rPr>
                <w:rFonts w:cs="Arial"/>
                <w:color w:val="auto"/>
                <w:sz w:val="18"/>
                <w:szCs w:val="18"/>
              </w:rPr>
              <w:t>s</w:t>
            </w:r>
            <w:r w:rsidRPr="00943A2F">
              <w:rPr>
                <w:rFonts w:cs="Arial"/>
                <w:color w:val="auto"/>
                <w:sz w:val="18"/>
                <w:szCs w:val="18"/>
              </w:rPr>
              <w:t xml:space="preserve"> in</w:t>
            </w:r>
            <w:r w:rsidRPr="00943A2F">
              <w:rPr>
                <w:bCs/>
                <w:iCs/>
                <w:color w:val="auto"/>
                <w:sz w:val="18"/>
                <w:szCs w:val="18"/>
                <w:lang w:val="en-US"/>
              </w:rPr>
              <w:t xml:space="preserve"> operation of terminal navigation services. </w:t>
            </w:r>
          </w:p>
        </w:tc>
      </w:tr>
      <w:tr w:rsidR="00B9204B" w:rsidRPr="00425B26" w14:paraId="186764A9" w14:textId="77777777" w:rsidTr="00BF7D94">
        <w:tc>
          <w:tcPr>
            <w:tcW w:w="2269" w:type="dxa"/>
            <w:shd w:val="clear" w:color="auto" w:fill="auto"/>
          </w:tcPr>
          <w:p w14:paraId="17CCCC38" w14:textId="77777777" w:rsidR="00B9204B" w:rsidRPr="00943A2F" w:rsidRDefault="00B9204B" w:rsidP="00BF7D94">
            <w:pPr>
              <w:pStyle w:val="Default"/>
              <w:jc w:val="both"/>
              <w:rPr>
                <w:bCs/>
                <w:color w:val="auto"/>
                <w:sz w:val="18"/>
                <w:szCs w:val="18"/>
              </w:rPr>
            </w:pPr>
            <w:r w:rsidRPr="00943A2F">
              <w:rPr>
                <w:bCs/>
                <w:color w:val="auto"/>
                <w:sz w:val="18"/>
                <w:szCs w:val="18"/>
              </w:rPr>
              <w:t>1.4 Cost of capital</w:t>
            </w:r>
          </w:p>
        </w:tc>
        <w:tc>
          <w:tcPr>
            <w:tcW w:w="7053" w:type="dxa"/>
            <w:shd w:val="clear" w:color="auto" w:fill="auto"/>
          </w:tcPr>
          <w:p w14:paraId="42ECFB09" w14:textId="5EEF7C65" w:rsidR="00B9204B" w:rsidRPr="00943A2F" w:rsidRDefault="002A21E3" w:rsidP="00BF7D94">
            <w:pPr>
              <w:pStyle w:val="Default"/>
              <w:jc w:val="both"/>
              <w:rPr>
                <w:rFonts w:cs="Arial"/>
                <w:color w:val="auto"/>
                <w:sz w:val="18"/>
                <w:szCs w:val="18"/>
              </w:rPr>
            </w:pPr>
            <w:r w:rsidRPr="00943A2F">
              <w:rPr>
                <w:rFonts w:cs="Arial"/>
                <w:color w:val="auto"/>
                <w:sz w:val="18"/>
                <w:szCs w:val="18"/>
              </w:rPr>
              <w:t xml:space="preserve">Please see 1.3. </w:t>
            </w:r>
          </w:p>
        </w:tc>
      </w:tr>
      <w:tr w:rsidR="00B9204B" w:rsidRPr="00D4056A" w14:paraId="320EAD0B" w14:textId="77777777" w:rsidTr="00BF7D94">
        <w:tc>
          <w:tcPr>
            <w:tcW w:w="2269" w:type="dxa"/>
            <w:shd w:val="clear" w:color="auto" w:fill="auto"/>
          </w:tcPr>
          <w:p w14:paraId="518D5972" w14:textId="77777777" w:rsidR="00B9204B" w:rsidRPr="009A19BC" w:rsidRDefault="00B9204B" w:rsidP="00BF7D94">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36AD5124" w14:textId="77777777" w:rsidR="00B9204B" w:rsidRPr="00D4056A" w:rsidRDefault="00B9204B" w:rsidP="00BF7D94">
            <w:pPr>
              <w:pStyle w:val="Default"/>
              <w:rPr>
                <w:bCs/>
                <w:iCs/>
                <w:color w:val="auto"/>
                <w:sz w:val="18"/>
                <w:szCs w:val="18"/>
                <w:lang w:val="en-US"/>
              </w:rPr>
            </w:pPr>
          </w:p>
        </w:tc>
      </w:tr>
      <w:tr w:rsidR="00B9204B" w:rsidRPr="006C2F02" w14:paraId="49BB3BBF" w14:textId="77777777" w:rsidTr="00BF7D94">
        <w:trPr>
          <w:trHeight w:val="210"/>
        </w:trPr>
        <w:tc>
          <w:tcPr>
            <w:tcW w:w="9322" w:type="dxa"/>
            <w:gridSpan w:val="2"/>
            <w:shd w:val="clear" w:color="auto" w:fill="auto"/>
          </w:tcPr>
          <w:p w14:paraId="7811461A" w14:textId="77777777" w:rsidR="00B9204B" w:rsidRPr="006C459D" w:rsidRDefault="00B9204B" w:rsidP="00BF7D94">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B9204B" w:rsidRPr="00B4297C" w14:paraId="3DE99D29" w14:textId="77777777" w:rsidTr="00BF7D94">
        <w:tc>
          <w:tcPr>
            <w:tcW w:w="2269" w:type="dxa"/>
            <w:shd w:val="clear" w:color="auto" w:fill="auto"/>
          </w:tcPr>
          <w:p w14:paraId="2EEFE23C" w14:textId="77777777" w:rsidR="00B9204B" w:rsidRPr="009A19BC" w:rsidRDefault="00B9204B" w:rsidP="00BF7D94">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43C6D517" w14:textId="77777777" w:rsidR="00B9204B" w:rsidRPr="005E1E3A" w:rsidRDefault="00B9204B" w:rsidP="00BF7D94">
            <w:pPr>
              <w:pStyle w:val="Default"/>
              <w:jc w:val="both"/>
              <w:rPr>
                <w:bCs/>
                <w:iCs/>
                <w:color w:val="auto"/>
                <w:sz w:val="18"/>
                <w:szCs w:val="18"/>
                <w:lang w:val="en-US"/>
              </w:rPr>
            </w:pPr>
          </w:p>
        </w:tc>
      </w:tr>
      <w:tr w:rsidR="00B9204B" w:rsidRPr="00CA2B9B" w14:paraId="7177A22F" w14:textId="77777777" w:rsidTr="00BF7D94">
        <w:tc>
          <w:tcPr>
            <w:tcW w:w="2269" w:type="dxa"/>
            <w:shd w:val="clear" w:color="auto" w:fill="auto"/>
          </w:tcPr>
          <w:p w14:paraId="463F0483" w14:textId="77777777" w:rsidR="00B9204B" w:rsidRPr="009A19BC" w:rsidRDefault="00B9204B" w:rsidP="00BF7D94">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7A9CEE87" w14:textId="77777777" w:rsidR="00B9204B" w:rsidRPr="005E1E3A" w:rsidRDefault="00B9204B" w:rsidP="00BF7D94">
            <w:pPr>
              <w:pStyle w:val="Default"/>
              <w:rPr>
                <w:bCs/>
                <w:iCs/>
                <w:color w:val="auto"/>
                <w:sz w:val="18"/>
                <w:szCs w:val="18"/>
                <w:lang w:val="en-US"/>
              </w:rPr>
            </w:pPr>
          </w:p>
        </w:tc>
      </w:tr>
      <w:tr w:rsidR="00B9204B" w:rsidRPr="009D72C7" w14:paraId="608EA4BA" w14:textId="77777777" w:rsidTr="00BF7D94">
        <w:tc>
          <w:tcPr>
            <w:tcW w:w="2269" w:type="dxa"/>
            <w:shd w:val="clear" w:color="auto" w:fill="auto"/>
          </w:tcPr>
          <w:p w14:paraId="1595C9B5" w14:textId="77777777" w:rsidR="00B9204B" w:rsidRPr="00E60CD7" w:rsidRDefault="00B9204B" w:rsidP="00BF7D94">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2E67D622" w14:textId="77777777" w:rsidR="00B9204B" w:rsidRPr="005E1E3A" w:rsidRDefault="00B9204B" w:rsidP="00BF7D94">
            <w:pPr>
              <w:pStyle w:val="Default"/>
              <w:jc w:val="both"/>
              <w:rPr>
                <w:bCs/>
                <w:iCs/>
                <w:color w:val="auto"/>
                <w:sz w:val="18"/>
                <w:szCs w:val="18"/>
                <w:lang w:val="en-US"/>
              </w:rPr>
            </w:pPr>
          </w:p>
        </w:tc>
      </w:tr>
      <w:tr w:rsidR="00B9204B" w:rsidRPr="00425B26" w14:paraId="3E640589" w14:textId="77777777" w:rsidTr="00BF7D94">
        <w:tc>
          <w:tcPr>
            <w:tcW w:w="2269" w:type="dxa"/>
            <w:shd w:val="clear" w:color="auto" w:fill="auto"/>
          </w:tcPr>
          <w:p w14:paraId="5B524D42" w14:textId="77777777" w:rsidR="00B9204B" w:rsidRPr="009A19BC" w:rsidRDefault="00B9204B" w:rsidP="00BF7D94">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7F6AC712" w14:textId="77777777" w:rsidR="00B9204B" w:rsidRPr="005E1E3A" w:rsidRDefault="00B9204B" w:rsidP="00BF7D94">
            <w:pPr>
              <w:pStyle w:val="Default"/>
              <w:jc w:val="both"/>
              <w:rPr>
                <w:bCs/>
                <w:iCs/>
                <w:color w:val="auto"/>
                <w:sz w:val="18"/>
                <w:szCs w:val="18"/>
                <w:lang w:val="en-US"/>
              </w:rPr>
            </w:pPr>
          </w:p>
        </w:tc>
      </w:tr>
      <w:tr w:rsidR="00B9204B" w:rsidRPr="00D4056A" w14:paraId="7D3E9F49" w14:textId="77777777" w:rsidTr="00BF7D94">
        <w:tc>
          <w:tcPr>
            <w:tcW w:w="2269" w:type="dxa"/>
            <w:shd w:val="clear" w:color="auto" w:fill="auto"/>
          </w:tcPr>
          <w:p w14:paraId="1E352653" w14:textId="77777777" w:rsidR="00B9204B" w:rsidRPr="009A19BC" w:rsidRDefault="00B9204B" w:rsidP="00BF7D94">
            <w:pPr>
              <w:pStyle w:val="Default"/>
              <w:rPr>
                <w:bCs/>
                <w:color w:val="auto"/>
                <w:sz w:val="18"/>
                <w:szCs w:val="18"/>
              </w:rPr>
            </w:pPr>
            <w:r w:rsidRPr="006C459D">
              <w:rPr>
                <w:rFonts w:cs="Calibri"/>
                <w:sz w:val="18"/>
                <w:szCs w:val="18"/>
                <w:lang w:val="fr-BE" w:eastAsia="fr-BE"/>
              </w:rPr>
              <w:t>2.5 Search and rescue</w:t>
            </w:r>
          </w:p>
        </w:tc>
        <w:tc>
          <w:tcPr>
            <w:tcW w:w="7053" w:type="dxa"/>
            <w:shd w:val="clear" w:color="auto" w:fill="auto"/>
          </w:tcPr>
          <w:p w14:paraId="780BF18D" w14:textId="77777777" w:rsidR="00B9204B" w:rsidRPr="005E1E3A" w:rsidRDefault="00B9204B" w:rsidP="00BF7D94">
            <w:pPr>
              <w:pStyle w:val="Default"/>
              <w:rPr>
                <w:bCs/>
                <w:iCs/>
                <w:color w:val="auto"/>
                <w:sz w:val="18"/>
                <w:szCs w:val="18"/>
                <w:lang w:val="en-US"/>
              </w:rPr>
            </w:pPr>
          </w:p>
        </w:tc>
      </w:tr>
      <w:tr w:rsidR="00B9204B" w:rsidRPr="009D72C7" w14:paraId="7494CC87" w14:textId="77777777" w:rsidTr="00BF7D94">
        <w:tc>
          <w:tcPr>
            <w:tcW w:w="2269" w:type="dxa"/>
            <w:shd w:val="clear" w:color="auto" w:fill="auto"/>
          </w:tcPr>
          <w:p w14:paraId="6671B777" w14:textId="77777777" w:rsidR="00B9204B" w:rsidRPr="00E60CD7" w:rsidRDefault="00B9204B" w:rsidP="00BF7D94">
            <w:pPr>
              <w:pStyle w:val="Default"/>
              <w:rPr>
                <w:bCs/>
                <w:color w:val="auto"/>
                <w:sz w:val="18"/>
                <w:szCs w:val="18"/>
                <w:lang w:val="en-US"/>
              </w:rPr>
            </w:pPr>
            <w:r w:rsidRPr="006C459D">
              <w:rPr>
                <w:rFonts w:cs="Calibri"/>
                <w:sz w:val="18"/>
                <w:szCs w:val="18"/>
                <w:lang w:val="fr-BE" w:eastAsia="fr-BE"/>
              </w:rPr>
              <w:t>2.6 Aeronautical Information</w:t>
            </w:r>
          </w:p>
        </w:tc>
        <w:tc>
          <w:tcPr>
            <w:tcW w:w="7053" w:type="dxa"/>
            <w:shd w:val="clear" w:color="auto" w:fill="auto"/>
          </w:tcPr>
          <w:p w14:paraId="33984B7D" w14:textId="77777777" w:rsidR="00B9204B" w:rsidRPr="005E1E3A" w:rsidRDefault="00B9204B" w:rsidP="00BF7D94">
            <w:pPr>
              <w:pStyle w:val="Default"/>
              <w:jc w:val="both"/>
              <w:rPr>
                <w:bCs/>
                <w:iCs/>
                <w:color w:val="auto"/>
                <w:sz w:val="18"/>
                <w:szCs w:val="18"/>
                <w:lang w:val="en-US"/>
              </w:rPr>
            </w:pPr>
          </w:p>
        </w:tc>
      </w:tr>
      <w:tr w:rsidR="00B9204B" w:rsidRPr="00425B26" w14:paraId="7FF5FBD5" w14:textId="77777777" w:rsidTr="00BF7D94">
        <w:tc>
          <w:tcPr>
            <w:tcW w:w="2269" w:type="dxa"/>
            <w:shd w:val="clear" w:color="auto" w:fill="auto"/>
          </w:tcPr>
          <w:p w14:paraId="0B775A3F" w14:textId="77777777" w:rsidR="00B9204B" w:rsidRPr="009A19BC" w:rsidRDefault="00B9204B" w:rsidP="00BF7D94">
            <w:pPr>
              <w:pStyle w:val="Default"/>
              <w:rPr>
                <w:bCs/>
                <w:color w:val="auto"/>
                <w:sz w:val="18"/>
                <w:szCs w:val="18"/>
              </w:rPr>
            </w:pPr>
            <w:r w:rsidRPr="006C459D">
              <w:rPr>
                <w:rFonts w:cs="Calibri"/>
                <w:sz w:val="18"/>
                <w:szCs w:val="18"/>
                <w:lang w:val="fr-BE" w:eastAsia="fr-BE"/>
              </w:rPr>
              <w:t>2.7 Meteorological services</w:t>
            </w:r>
          </w:p>
        </w:tc>
        <w:tc>
          <w:tcPr>
            <w:tcW w:w="7053" w:type="dxa"/>
            <w:shd w:val="clear" w:color="auto" w:fill="auto"/>
          </w:tcPr>
          <w:p w14:paraId="7CCDD875" w14:textId="77777777" w:rsidR="00B9204B" w:rsidRPr="005E1E3A" w:rsidRDefault="00B9204B" w:rsidP="00BF7D94">
            <w:pPr>
              <w:pStyle w:val="Default"/>
              <w:jc w:val="both"/>
              <w:rPr>
                <w:bCs/>
                <w:iCs/>
                <w:color w:val="auto"/>
                <w:sz w:val="18"/>
                <w:szCs w:val="18"/>
                <w:lang w:val="en-US"/>
              </w:rPr>
            </w:pPr>
          </w:p>
        </w:tc>
      </w:tr>
      <w:tr w:rsidR="00B9204B" w:rsidRPr="00D4056A" w14:paraId="1DE6FD9C" w14:textId="77777777" w:rsidTr="00BF7D94">
        <w:tc>
          <w:tcPr>
            <w:tcW w:w="2269" w:type="dxa"/>
            <w:shd w:val="clear" w:color="auto" w:fill="auto"/>
          </w:tcPr>
          <w:p w14:paraId="1ACB19FC" w14:textId="77777777" w:rsidR="00B9204B" w:rsidRPr="009A19BC" w:rsidRDefault="00B9204B" w:rsidP="00BF7D94">
            <w:pPr>
              <w:pStyle w:val="Default"/>
              <w:rPr>
                <w:bCs/>
                <w:color w:val="auto"/>
                <w:sz w:val="18"/>
                <w:szCs w:val="18"/>
              </w:rPr>
            </w:pPr>
            <w:r w:rsidRPr="006C459D">
              <w:rPr>
                <w:rFonts w:cs="Calibri"/>
                <w:sz w:val="18"/>
                <w:szCs w:val="18"/>
                <w:lang w:val="fr-BE" w:eastAsia="fr-BE"/>
              </w:rPr>
              <w:t>2.8 Supervision costs</w:t>
            </w:r>
          </w:p>
        </w:tc>
        <w:tc>
          <w:tcPr>
            <w:tcW w:w="7053" w:type="dxa"/>
            <w:shd w:val="clear" w:color="auto" w:fill="auto"/>
          </w:tcPr>
          <w:p w14:paraId="7CB098E8" w14:textId="77777777" w:rsidR="00B9204B" w:rsidRPr="005E1E3A" w:rsidRDefault="00B9204B" w:rsidP="00BF7D94">
            <w:pPr>
              <w:pStyle w:val="Default"/>
              <w:rPr>
                <w:bCs/>
                <w:iCs/>
                <w:color w:val="auto"/>
                <w:sz w:val="18"/>
                <w:szCs w:val="18"/>
                <w:lang w:val="en-US"/>
              </w:rPr>
            </w:pPr>
          </w:p>
        </w:tc>
      </w:tr>
      <w:tr w:rsidR="00B9204B" w:rsidRPr="009D72C7" w14:paraId="592A90D8" w14:textId="77777777" w:rsidTr="00BF7D94">
        <w:tc>
          <w:tcPr>
            <w:tcW w:w="2269" w:type="dxa"/>
            <w:shd w:val="clear" w:color="auto" w:fill="auto"/>
          </w:tcPr>
          <w:p w14:paraId="419C10EE" w14:textId="77777777" w:rsidR="00B9204B" w:rsidRPr="00E60CD7" w:rsidRDefault="00B9204B" w:rsidP="00BF7D94">
            <w:pPr>
              <w:pStyle w:val="Default"/>
              <w:rPr>
                <w:bCs/>
                <w:color w:val="auto"/>
                <w:sz w:val="18"/>
                <w:szCs w:val="18"/>
                <w:lang w:val="en-US"/>
              </w:rPr>
            </w:pPr>
            <w:r w:rsidRPr="006C459D">
              <w:rPr>
                <w:rFonts w:cs="Calibri"/>
                <w:sz w:val="18"/>
                <w:szCs w:val="18"/>
                <w:lang w:val="fr-BE" w:eastAsia="fr-BE"/>
              </w:rPr>
              <w:t>2.9 Other State costs</w:t>
            </w:r>
          </w:p>
        </w:tc>
        <w:tc>
          <w:tcPr>
            <w:tcW w:w="7053" w:type="dxa"/>
            <w:shd w:val="clear" w:color="auto" w:fill="auto"/>
          </w:tcPr>
          <w:p w14:paraId="1B424A56" w14:textId="77777777" w:rsidR="00B9204B" w:rsidRPr="005E1E3A" w:rsidRDefault="00B9204B" w:rsidP="00BF7D94">
            <w:pPr>
              <w:pStyle w:val="Default"/>
              <w:jc w:val="both"/>
              <w:rPr>
                <w:bCs/>
                <w:iCs/>
                <w:color w:val="auto"/>
                <w:sz w:val="18"/>
                <w:szCs w:val="18"/>
                <w:lang w:val="en-US"/>
              </w:rPr>
            </w:pPr>
          </w:p>
        </w:tc>
      </w:tr>
      <w:tr w:rsidR="00B9204B" w:rsidRPr="006C2F02" w14:paraId="11265E24" w14:textId="77777777" w:rsidTr="00BF7D94">
        <w:trPr>
          <w:trHeight w:val="210"/>
        </w:trPr>
        <w:tc>
          <w:tcPr>
            <w:tcW w:w="9322" w:type="dxa"/>
            <w:gridSpan w:val="2"/>
            <w:shd w:val="clear" w:color="auto" w:fill="auto"/>
          </w:tcPr>
          <w:p w14:paraId="510392DF" w14:textId="77777777" w:rsidR="00B9204B" w:rsidRPr="006C2F02" w:rsidRDefault="00B9204B" w:rsidP="00BF7D94">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B9204B" w:rsidRPr="004D38CC" w14:paraId="0BE1C9BD" w14:textId="77777777" w:rsidTr="00BF7D94">
        <w:trPr>
          <w:trHeight w:val="210"/>
        </w:trPr>
        <w:tc>
          <w:tcPr>
            <w:tcW w:w="9322" w:type="dxa"/>
            <w:gridSpan w:val="2"/>
            <w:shd w:val="clear" w:color="auto" w:fill="auto"/>
          </w:tcPr>
          <w:p w14:paraId="07F6387D" w14:textId="77777777" w:rsidR="00B9204B" w:rsidRPr="004D38CC" w:rsidRDefault="00B9204B" w:rsidP="00BF7D94">
            <w:pPr>
              <w:pStyle w:val="Default"/>
              <w:rPr>
                <w:b/>
                <w:color w:val="auto"/>
                <w:sz w:val="18"/>
                <w:szCs w:val="18"/>
              </w:rPr>
            </w:pPr>
            <w:r w:rsidRPr="004D38CC">
              <w:rPr>
                <w:bCs/>
                <w:iCs/>
                <w:color w:val="auto"/>
                <w:sz w:val="18"/>
                <w:szCs w:val="18"/>
                <w:lang w:val="en-US"/>
              </w:rPr>
              <w:t>&lt;   &gt;</w:t>
            </w:r>
          </w:p>
        </w:tc>
      </w:tr>
    </w:tbl>
    <w:p w14:paraId="19A034DB" w14:textId="77777777" w:rsidR="00352E4E" w:rsidRDefault="00352E4E" w:rsidP="00352E4E">
      <w:pPr>
        <w:jc w:val="center"/>
        <w:rPr>
          <w:i/>
          <w:lang w:eastAsia="de-DE"/>
        </w:rPr>
      </w:pPr>
    </w:p>
    <w:p w14:paraId="32188702" w14:textId="77777777" w:rsidR="002778DF" w:rsidRPr="002778DF" w:rsidRDefault="002778DF" w:rsidP="002778DF">
      <w:pPr>
        <w:jc w:val="center"/>
        <w:rPr>
          <w:b/>
          <w:i/>
          <w:lang w:eastAsia="de-DE"/>
        </w:rPr>
      </w:pPr>
      <w:r>
        <w:rPr>
          <w:b/>
          <w:i/>
          <w:lang w:eastAsia="de-DE"/>
        </w:rPr>
        <w:t>Pension costs</w:t>
      </w:r>
    </w:p>
    <w:p w14:paraId="72001C35" w14:textId="77777777" w:rsidR="002778DF" w:rsidRDefault="002778DF" w:rsidP="002778DF">
      <w:pPr>
        <w:jc w:val="left"/>
        <w:rPr>
          <w:i/>
          <w:lang w:eastAsia="de-DE"/>
        </w:rPr>
      </w:pPr>
      <w:r>
        <w:rPr>
          <w:i/>
          <w:sz w:val="20"/>
          <w:szCs w:val="20"/>
          <w:lang w:eastAsia="de-DE"/>
        </w:rPr>
        <w:t xml:space="preserve">Note: The determined pension costs of the main ANSPs are detailed and justified in the body of the performance plan (item 3.4.3) </w:t>
      </w:r>
      <w:r w:rsidRPr="00277BB7">
        <w:rPr>
          <w:i/>
          <w:sz w:val="20"/>
          <w:szCs w:val="20"/>
          <w:lang w:eastAsia="de-DE"/>
        </w:rPr>
        <w:t xml:space="preserve">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2778DF" w:rsidRPr="002778DF" w14:paraId="085EA1F6" w14:textId="77777777" w:rsidTr="002778DF">
        <w:trPr>
          <w:trHeight w:val="21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09471E36" w14:textId="38618CCF" w:rsidR="002778DF" w:rsidRPr="002778DF" w:rsidRDefault="002778DF" w:rsidP="002778DF">
            <w:pPr>
              <w:pStyle w:val="Default"/>
              <w:jc w:val="center"/>
              <w:rPr>
                <w:b/>
                <w:color w:val="auto"/>
                <w:sz w:val="18"/>
                <w:szCs w:val="18"/>
              </w:rPr>
            </w:pPr>
            <w:r w:rsidRPr="002778DF">
              <w:rPr>
                <w:b/>
                <w:color w:val="auto"/>
                <w:sz w:val="18"/>
                <w:szCs w:val="18"/>
              </w:rPr>
              <w:t xml:space="preserve">Entity: </w:t>
            </w:r>
            <w:proofErr w:type="spellStart"/>
            <w:r w:rsidR="00400AD3">
              <w:rPr>
                <w:b/>
                <w:color w:val="auto"/>
                <w:sz w:val="18"/>
                <w:szCs w:val="18"/>
              </w:rPr>
              <w:t>Avinor</w:t>
            </w:r>
            <w:proofErr w:type="spellEnd"/>
            <w:r w:rsidR="00400AD3">
              <w:rPr>
                <w:b/>
                <w:color w:val="auto"/>
                <w:sz w:val="18"/>
                <w:szCs w:val="18"/>
              </w:rPr>
              <w:t xml:space="preserve"> AS</w:t>
            </w:r>
          </w:p>
        </w:tc>
      </w:tr>
      <w:tr w:rsidR="002778DF" w:rsidRPr="006C2F02" w14:paraId="6644C2CD" w14:textId="77777777" w:rsidTr="00225F7F">
        <w:trPr>
          <w:trHeight w:val="210"/>
        </w:trPr>
        <w:tc>
          <w:tcPr>
            <w:tcW w:w="9322" w:type="dxa"/>
            <w:shd w:val="clear" w:color="auto" w:fill="auto"/>
          </w:tcPr>
          <w:p w14:paraId="31781184" w14:textId="77777777" w:rsidR="002778DF" w:rsidRPr="006C459D" w:rsidRDefault="002778DF" w:rsidP="00225F7F">
            <w:pPr>
              <w:spacing w:before="0" w:after="0"/>
              <w:jc w:val="left"/>
              <w:rPr>
                <w:rFonts w:ascii="Calibri" w:hAnsi="Calibri" w:cs="Calibri"/>
                <w:b/>
                <w:bCs/>
                <w:sz w:val="18"/>
                <w:szCs w:val="18"/>
              </w:rPr>
            </w:pPr>
            <w:r>
              <w:rPr>
                <w:rFonts w:ascii="Calibri" w:hAnsi="Calibri" w:cs="Calibri"/>
                <w:b/>
                <w:bCs/>
                <w:sz w:val="18"/>
                <w:szCs w:val="18"/>
              </w:rPr>
              <w:t>Assumptions underlying the determined pension costs and expected evolution over Reference Period 3</w:t>
            </w:r>
          </w:p>
        </w:tc>
      </w:tr>
      <w:tr w:rsidR="002778DF" w:rsidRPr="006C2F02" w14:paraId="42F99AC1" w14:textId="77777777" w:rsidTr="00225F7F">
        <w:trPr>
          <w:trHeight w:val="210"/>
        </w:trPr>
        <w:tc>
          <w:tcPr>
            <w:tcW w:w="9322" w:type="dxa"/>
            <w:shd w:val="clear" w:color="auto" w:fill="auto"/>
          </w:tcPr>
          <w:p w14:paraId="5ACA6DBC" w14:textId="7DCCA01B" w:rsidR="00B9204B" w:rsidRDefault="00B9204B" w:rsidP="00B9204B">
            <w:pPr>
              <w:spacing w:before="0" w:after="0"/>
              <w:jc w:val="left"/>
              <w:rPr>
                <w:rFonts w:ascii="Calibri" w:hAnsi="Calibri" w:cs="Calibri"/>
                <w:bCs/>
                <w:sz w:val="18"/>
                <w:szCs w:val="18"/>
              </w:rPr>
            </w:pPr>
            <w:r w:rsidRPr="007A0897">
              <w:rPr>
                <w:rFonts w:ascii="Calibri" w:hAnsi="Calibri" w:cs="Calibri"/>
                <w:bCs/>
                <w:sz w:val="18"/>
                <w:szCs w:val="18"/>
              </w:rPr>
              <w:t xml:space="preserve">All Norwegian Citizens are members of the National Insurance Scheme and entitled to withdraw a retirement pension after the age of 62. The retirement pension is funded through the National Insurance scheme. Employers are obligated to contribute to the National Insurance </w:t>
            </w:r>
            <w:r>
              <w:rPr>
                <w:rFonts w:ascii="Calibri" w:hAnsi="Calibri" w:cs="Calibri"/>
                <w:bCs/>
                <w:sz w:val="18"/>
                <w:szCs w:val="18"/>
              </w:rPr>
              <w:t>S</w:t>
            </w:r>
            <w:r w:rsidRPr="007A0897">
              <w:rPr>
                <w:rFonts w:ascii="Calibri" w:hAnsi="Calibri" w:cs="Calibri"/>
                <w:bCs/>
                <w:sz w:val="18"/>
                <w:szCs w:val="18"/>
              </w:rPr>
              <w:t>cheme through a payroll tax based on as a percentage of personnel cost. The percentage is differentiated based on geographical criteria.</w:t>
            </w:r>
            <w:r>
              <w:rPr>
                <w:rFonts w:ascii="Calibri" w:hAnsi="Calibri" w:cs="Calibri"/>
                <w:bCs/>
                <w:sz w:val="18"/>
                <w:szCs w:val="18"/>
              </w:rPr>
              <w:t xml:space="preserve"> The ANSP at the four airports within the TNC performance scheme,</w:t>
            </w:r>
            <w:r w:rsidRPr="007A0897">
              <w:rPr>
                <w:rFonts w:ascii="Calibri" w:hAnsi="Calibri" w:cs="Calibri"/>
                <w:bCs/>
                <w:sz w:val="18"/>
                <w:szCs w:val="18"/>
              </w:rPr>
              <w:t xml:space="preserve"> </w:t>
            </w:r>
            <w:proofErr w:type="spellStart"/>
            <w:r w:rsidRPr="007A0897">
              <w:rPr>
                <w:rFonts w:ascii="Calibri" w:hAnsi="Calibri" w:cs="Calibri"/>
                <w:bCs/>
                <w:sz w:val="18"/>
                <w:szCs w:val="18"/>
              </w:rPr>
              <w:t>Avinor</w:t>
            </w:r>
            <w:proofErr w:type="spellEnd"/>
            <w:r w:rsidRPr="007A0897">
              <w:rPr>
                <w:rFonts w:ascii="Calibri" w:hAnsi="Calibri" w:cs="Calibri"/>
                <w:bCs/>
                <w:sz w:val="18"/>
                <w:szCs w:val="18"/>
              </w:rPr>
              <w:t xml:space="preserve"> </w:t>
            </w:r>
            <w:r>
              <w:rPr>
                <w:rFonts w:ascii="Calibri" w:hAnsi="Calibri" w:cs="Calibri"/>
                <w:bCs/>
                <w:sz w:val="18"/>
                <w:szCs w:val="18"/>
              </w:rPr>
              <w:t>ANS</w:t>
            </w:r>
            <w:r w:rsidR="00684AAF">
              <w:rPr>
                <w:rFonts w:ascii="Calibri" w:hAnsi="Calibri" w:cs="Calibri"/>
                <w:bCs/>
                <w:sz w:val="18"/>
                <w:szCs w:val="18"/>
              </w:rPr>
              <w:t>,</w:t>
            </w:r>
            <w:r w:rsidRPr="007A0897">
              <w:rPr>
                <w:rFonts w:ascii="Calibri" w:hAnsi="Calibri" w:cs="Calibri"/>
                <w:bCs/>
                <w:sz w:val="18"/>
                <w:szCs w:val="18"/>
              </w:rPr>
              <w:t xml:space="preserve"> </w:t>
            </w:r>
            <w:r>
              <w:rPr>
                <w:rFonts w:ascii="Calibri" w:hAnsi="Calibri" w:cs="Calibri"/>
                <w:bCs/>
                <w:sz w:val="18"/>
                <w:szCs w:val="18"/>
              </w:rPr>
              <w:t>has</w:t>
            </w:r>
            <w:r w:rsidR="00684AAF">
              <w:rPr>
                <w:rFonts w:ascii="Calibri" w:hAnsi="Calibri" w:cs="Calibri"/>
                <w:bCs/>
                <w:sz w:val="18"/>
                <w:szCs w:val="18"/>
              </w:rPr>
              <w:t xml:space="preserve"> presently</w:t>
            </w:r>
            <w:r>
              <w:rPr>
                <w:rFonts w:ascii="Calibri" w:hAnsi="Calibri" w:cs="Calibri"/>
                <w:bCs/>
                <w:sz w:val="18"/>
                <w:szCs w:val="18"/>
              </w:rPr>
              <w:t xml:space="preserve"> a</w:t>
            </w:r>
            <w:r w:rsidRPr="007A0897">
              <w:rPr>
                <w:rFonts w:ascii="Calibri" w:hAnsi="Calibri" w:cs="Calibri"/>
                <w:bCs/>
                <w:sz w:val="18"/>
                <w:szCs w:val="18"/>
              </w:rPr>
              <w:t xml:space="preserve"> rate </w:t>
            </w:r>
            <w:r w:rsidR="00311682">
              <w:rPr>
                <w:rFonts w:ascii="Calibri" w:hAnsi="Calibri" w:cs="Calibri"/>
                <w:bCs/>
                <w:sz w:val="18"/>
                <w:szCs w:val="18"/>
              </w:rPr>
              <w:t xml:space="preserve">of </w:t>
            </w:r>
            <w:r w:rsidRPr="007A0897">
              <w:rPr>
                <w:rFonts w:ascii="Calibri" w:hAnsi="Calibri" w:cs="Calibri"/>
                <w:bCs/>
                <w:sz w:val="18"/>
                <w:szCs w:val="18"/>
              </w:rPr>
              <w:t>14,1 %.</w:t>
            </w:r>
          </w:p>
          <w:p w14:paraId="22E0A74E" w14:textId="77777777" w:rsidR="00B9204B" w:rsidRDefault="00B9204B" w:rsidP="00B9204B">
            <w:pPr>
              <w:spacing w:before="0" w:after="0"/>
              <w:jc w:val="left"/>
              <w:rPr>
                <w:rFonts w:ascii="Calibri" w:hAnsi="Calibri" w:cs="Calibri"/>
                <w:bCs/>
                <w:sz w:val="18"/>
                <w:szCs w:val="18"/>
              </w:rPr>
            </w:pPr>
          </w:p>
          <w:p w14:paraId="76F2281B" w14:textId="51BC4C35" w:rsidR="002778DF" w:rsidRPr="0010691F" w:rsidRDefault="00B9204B" w:rsidP="00B9204B">
            <w:pPr>
              <w:spacing w:before="0" w:after="0"/>
              <w:jc w:val="left"/>
              <w:rPr>
                <w:rFonts w:ascii="Calibri" w:hAnsi="Calibri" w:cs="Calibri"/>
                <w:bCs/>
                <w:sz w:val="18"/>
                <w:szCs w:val="18"/>
                <w:highlight w:val="yellow"/>
              </w:rPr>
            </w:pPr>
            <w:r w:rsidRPr="0052538A">
              <w:rPr>
                <w:rFonts w:ascii="Calibri" w:hAnsi="Calibri" w:cs="Calibri"/>
                <w:bCs/>
                <w:sz w:val="18"/>
                <w:szCs w:val="18"/>
              </w:rPr>
              <w:t xml:space="preserve">As per 01.01.2019 all employees </w:t>
            </w:r>
            <w:r>
              <w:rPr>
                <w:rFonts w:ascii="Calibri" w:hAnsi="Calibri" w:cs="Calibri"/>
                <w:bCs/>
                <w:sz w:val="18"/>
                <w:szCs w:val="18"/>
              </w:rPr>
              <w:t xml:space="preserve">working </w:t>
            </w:r>
            <w:r w:rsidRPr="00977A44">
              <w:rPr>
                <w:rFonts w:ascii="Calibri" w:hAnsi="Calibri" w:cs="Calibri"/>
                <w:bCs/>
                <w:sz w:val="18"/>
                <w:szCs w:val="18"/>
              </w:rPr>
              <w:t xml:space="preserve">within </w:t>
            </w:r>
            <w:proofErr w:type="spellStart"/>
            <w:r w:rsidRPr="00977A44">
              <w:rPr>
                <w:rFonts w:ascii="Calibri" w:hAnsi="Calibri" w:cs="Calibri"/>
                <w:bCs/>
                <w:sz w:val="18"/>
                <w:szCs w:val="18"/>
              </w:rPr>
              <w:t>Avinor</w:t>
            </w:r>
            <w:proofErr w:type="spellEnd"/>
            <w:r w:rsidRPr="00977A44">
              <w:rPr>
                <w:rFonts w:ascii="Calibri" w:hAnsi="Calibri" w:cs="Calibri"/>
                <w:bCs/>
                <w:sz w:val="18"/>
                <w:szCs w:val="18"/>
              </w:rPr>
              <w:t xml:space="preserve"> AS</w:t>
            </w:r>
            <w:r>
              <w:rPr>
                <w:rFonts w:ascii="Calibri" w:hAnsi="Calibri" w:cs="Calibri"/>
                <w:bCs/>
                <w:sz w:val="18"/>
                <w:szCs w:val="18"/>
              </w:rPr>
              <w:t xml:space="preserve"> had a choice of staying within the defined benefit plan (</w:t>
            </w:r>
            <w:proofErr w:type="spellStart"/>
            <w:r>
              <w:rPr>
                <w:rFonts w:ascii="Calibri" w:hAnsi="Calibri" w:cs="Calibri"/>
                <w:bCs/>
                <w:sz w:val="18"/>
                <w:szCs w:val="18"/>
              </w:rPr>
              <w:t>Statens</w:t>
            </w:r>
            <w:proofErr w:type="spellEnd"/>
            <w:r>
              <w:rPr>
                <w:rFonts w:ascii="Calibri" w:hAnsi="Calibri" w:cs="Calibri"/>
                <w:bCs/>
                <w:sz w:val="18"/>
                <w:szCs w:val="18"/>
              </w:rPr>
              <w:t xml:space="preserve"> </w:t>
            </w:r>
            <w:proofErr w:type="spellStart"/>
            <w:r>
              <w:rPr>
                <w:rFonts w:ascii="Calibri" w:hAnsi="Calibri" w:cs="Calibri"/>
                <w:bCs/>
                <w:sz w:val="18"/>
                <w:szCs w:val="18"/>
              </w:rPr>
              <w:t>Pensjonskasse</w:t>
            </w:r>
            <w:proofErr w:type="spellEnd"/>
            <w:r>
              <w:rPr>
                <w:rFonts w:ascii="Calibri" w:hAnsi="Calibri" w:cs="Calibri"/>
                <w:bCs/>
                <w:sz w:val="18"/>
                <w:szCs w:val="18"/>
              </w:rPr>
              <w:t>) or choos</w:t>
            </w:r>
            <w:r w:rsidR="00684AAF">
              <w:rPr>
                <w:rFonts w:ascii="Calibri" w:hAnsi="Calibri" w:cs="Calibri"/>
                <w:bCs/>
                <w:sz w:val="18"/>
                <w:szCs w:val="18"/>
              </w:rPr>
              <w:t>ing</w:t>
            </w:r>
            <w:r>
              <w:rPr>
                <w:rFonts w:ascii="Calibri" w:hAnsi="Calibri" w:cs="Calibri"/>
                <w:bCs/>
                <w:sz w:val="18"/>
                <w:szCs w:val="18"/>
              </w:rPr>
              <w:t xml:space="preserve"> to change to a</w:t>
            </w:r>
            <w:r w:rsidRPr="0052538A">
              <w:rPr>
                <w:rFonts w:ascii="Calibri" w:hAnsi="Calibri" w:cs="Calibri"/>
                <w:bCs/>
                <w:sz w:val="18"/>
                <w:szCs w:val="18"/>
              </w:rPr>
              <w:t xml:space="preserve"> new defined contribution plan. The pension plan is financed with 7 % premium on pensionable salary between 0 and 7,1 G (G: Public pension base rate), and 20 % on pensionable salary between 7,1 and 12 G. The employees contribute 1,5% of the premium.</w:t>
            </w:r>
            <w:r>
              <w:rPr>
                <w:rFonts w:ascii="Calibri" w:hAnsi="Calibri" w:cs="Calibri"/>
                <w:bCs/>
                <w:sz w:val="18"/>
                <w:szCs w:val="18"/>
              </w:rPr>
              <w:t xml:space="preserve"> </w:t>
            </w:r>
          </w:p>
        </w:tc>
      </w:tr>
    </w:tbl>
    <w:p w14:paraId="7CB2BD32" w14:textId="77777777" w:rsidR="00352E4E" w:rsidRDefault="00352E4E" w:rsidP="00352E4E">
      <w:pPr>
        <w:pStyle w:val="Default"/>
        <w:jc w:val="both"/>
        <w:rPr>
          <w:rFonts w:ascii="Arial" w:hAnsi="Arial" w:cs="Arial"/>
          <w:color w:val="17365D"/>
          <w:sz w:val="20"/>
          <w:szCs w:val="20"/>
        </w:rPr>
      </w:pPr>
    </w:p>
    <w:p w14:paraId="70111442"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5A5B61A2" w14:textId="77777777" w:rsidTr="002D6CCF">
        <w:tc>
          <w:tcPr>
            <w:tcW w:w="9242" w:type="dxa"/>
            <w:shd w:val="clear" w:color="auto" w:fill="C6D9F1"/>
          </w:tcPr>
          <w:p w14:paraId="5A4313C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a description and justification of the method adopted for the calculation of depreciation costs (point 1.3 of Table 1): historical costs or current costs referred to in the fourth subparagraph of Article 22(4), and, where current cost accounting is used, provision of comparable historical cost data;</w:t>
            </w:r>
          </w:p>
        </w:tc>
      </w:tr>
    </w:tbl>
    <w:p w14:paraId="0F64D585" w14:textId="7E3AAED4" w:rsidR="00352E4E" w:rsidRDefault="00B9204B" w:rsidP="00B9204B">
      <w:pPr>
        <w:autoSpaceDE w:val="0"/>
        <w:autoSpaceDN w:val="0"/>
        <w:adjustRightInd w:val="0"/>
        <w:rPr>
          <w:rFonts w:ascii="Arial" w:hAnsi="Arial" w:cs="Arial"/>
          <w:color w:val="17365D"/>
          <w:sz w:val="20"/>
          <w:szCs w:val="20"/>
        </w:rPr>
      </w:pPr>
      <w:r w:rsidRPr="00B017F7">
        <w:rPr>
          <w:rFonts w:ascii="Arial" w:hAnsi="Arial" w:cs="Arial"/>
          <w:sz w:val="20"/>
          <w:szCs w:val="20"/>
        </w:rPr>
        <w:t xml:space="preserve">Depreciation costs relate to the total fixed asset in operation for </w:t>
      </w:r>
      <w:smartTag w:uri="urn:schemas-microsoft-com:office:smarttags" w:element="stockticker">
        <w:r w:rsidRPr="00B017F7">
          <w:rPr>
            <w:rFonts w:ascii="Arial" w:hAnsi="Arial" w:cs="Arial"/>
            <w:sz w:val="20"/>
            <w:szCs w:val="20"/>
          </w:rPr>
          <w:t>ANS</w:t>
        </w:r>
      </w:smartTag>
      <w:r w:rsidRPr="00B017F7">
        <w:rPr>
          <w:rFonts w:ascii="Arial" w:hAnsi="Arial" w:cs="Arial"/>
          <w:sz w:val="20"/>
          <w:szCs w:val="20"/>
        </w:rPr>
        <w:t xml:space="preserve"> purposes. These fixed assets are</w:t>
      </w:r>
      <w:r>
        <w:rPr>
          <w:rFonts w:ascii="Arial" w:hAnsi="Arial" w:cs="Arial"/>
          <w:sz w:val="20"/>
          <w:szCs w:val="20"/>
        </w:rPr>
        <w:t xml:space="preserve"> </w:t>
      </w:r>
      <w:r w:rsidRPr="00B017F7">
        <w:rPr>
          <w:rFonts w:ascii="Arial" w:hAnsi="Arial" w:cs="Arial"/>
          <w:sz w:val="20"/>
          <w:szCs w:val="20"/>
        </w:rPr>
        <w:t xml:space="preserve">depreciated in accordance with their expected operating life cycle. </w:t>
      </w:r>
      <w:proofErr w:type="spellStart"/>
      <w:r w:rsidRPr="00B017F7">
        <w:rPr>
          <w:rFonts w:ascii="Arial" w:hAnsi="Arial" w:cs="Arial"/>
          <w:sz w:val="20"/>
          <w:szCs w:val="20"/>
        </w:rPr>
        <w:t>Avinor</w:t>
      </w:r>
      <w:proofErr w:type="spellEnd"/>
      <w:r w:rsidRPr="00B017F7">
        <w:rPr>
          <w:rFonts w:ascii="Arial" w:hAnsi="Arial" w:cs="Arial"/>
          <w:sz w:val="20"/>
          <w:szCs w:val="20"/>
        </w:rPr>
        <w:t xml:space="preserve"> uses a linear method applied </w:t>
      </w:r>
      <w:r w:rsidRPr="00B017F7">
        <w:rPr>
          <w:rFonts w:ascii="Arial" w:hAnsi="Arial" w:cs="Arial"/>
          <w:sz w:val="20"/>
          <w:szCs w:val="20"/>
        </w:rPr>
        <w:lastRenderedPageBreak/>
        <w:t>to historic cost of the assets.</w:t>
      </w:r>
      <w:r>
        <w:rPr>
          <w:rFonts w:ascii="Arial" w:hAnsi="Arial" w:cs="Arial"/>
          <w:sz w:val="20"/>
          <w:szCs w:val="20"/>
        </w:rPr>
        <w:t xml:space="preserve"> </w:t>
      </w:r>
      <w:proofErr w:type="spellStart"/>
      <w:r w:rsidRPr="00B017F7">
        <w:rPr>
          <w:rFonts w:ascii="Arial" w:hAnsi="Arial" w:cs="Arial"/>
          <w:sz w:val="20"/>
          <w:szCs w:val="20"/>
        </w:rPr>
        <w:t>Avinor</w:t>
      </w:r>
      <w:proofErr w:type="spellEnd"/>
      <w:r w:rsidR="00CC6106">
        <w:rPr>
          <w:rFonts w:ascii="Arial" w:hAnsi="Arial" w:cs="Arial"/>
          <w:sz w:val="20"/>
          <w:szCs w:val="20"/>
        </w:rPr>
        <w:t xml:space="preserve"> AS</w:t>
      </w:r>
      <w:r>
        <w:rPr>
          <w:rFonts w:ascii="Arial" w:hAnsi="Arial" w:cs="Arial"/>
          <w:sz w:val="20"/>
          <w:szCs w:val="20"/>
        </w:rPr>
        <w:t xml:space="preserve"> financial statements are compliant with </w:t>
      </w:r>
      <w:r w:rsidRPr="00B017F7">
        <w:rPr>
          <w:rFonts w:ascii="Arial" w:hAnsi="Arial" w:cs="Arial"/>
          <w:sz w:val="20"/>
          <w:szCs w:val="20"/>
        </w:rPr>
        <w:t xml:space="preserve">International Accounting Standards, IFRS. </w:t>
      </w:r>
      <w:proofErr w:type="spellStart"/>
      <w:r w:rsidRPr="00B017F7">
        <w:rPr>
          <w:rFonts w:ascii="Arial" w:hAnsi="Arial" w:cs="Arial"/>
          <w:sz w:val="20"/>
          <w:szCs w:val="20"/>
        </w:rPr>
        <w:t>Avinor</w:t>
      </w:r>
      <w:proofErr w:type="spellEnd"/>
      <w:r>
        <w:rPr>
          <w:rFonts w:ascii="Arial" w:hAnsi="Arial" w:cs="Arial"/>
          <w:sz w:val="20"/>
          <w:szCs w:val="20"/>
        </w:rPr>
        <w:t xml:space="preserve"> </w:t>
      </w:r>
      <w:r w:rsidR="00311682">
        <w:rPr>
          <w:rFonts w:ascii="Arial" w:hAnsi="Arial" w:cs="Arial"/>
          <w:sz w:val="20"/>
          <w:szCs w:val="20"/>
        </w:rPr>
        <w:t>AS</w:t>
      </w:r>
      <w:r w:rsidR="009D005F">
        <w:rPr>
          <w:rFonts w:ascii="Arial" w:hAnsi="Arial" w:cs="Arial"/>
          <w:sz w:val="20"/>
          <w:szCs w:val="20"/>
        </w:rPr>
        <w:t>’</w:t>
      </w:r>
      <w:r w:rsidR="00311682">
        <w:rPr>
          <w:rFonts w:ascii="Arial" w:hAnsi="Arial" w:cs="Arial"/>
          <w:sz w:val="20"/>
          <w:szCs w:val="20"/>
        </w:rPr>
        <w:t xml:space="preserve"> </w:t>
      </w:r>
      <w:r w:rsidRPr="00B017F7">
        <w:rPr>
          <w:rFonts w:ascii="Arial" w:hAnsi="Arial" w:cs="Arial"/>
          <w:sz w:val="20"/>
          <w:szCs w:val="20"/>
        </w:rPr>
        <w:t xml:space="preserve">depreciation method is in accordance with applicable law. </w:t>
      </w:r>
    </w:p>
    <w:p w14:paraId="2A600E2F"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038A7CA5" w14:textId="77777777" w:rsidTr="002D6CCF">
        <w:tc>
          <w:tcPr>
            <w:tcW w:w="9242" w:type="dxa"/>
            <w:shd w:val="clear" w:color="auto" w:fill="C6D9F1"/>
          </w:tcPr>
          <w:p w14:paraId="420CE3C3"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and underlying assumptions of each item of complementary information (point 3 of Table 1), including a description of the main factors explaining the variations over the reference period;</w:t>
            </w:r>
          </w:p>
        </w:tc>
      </w:tr>
    </w:tbl>
    <w:p w14:paraId="72DC8062"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775946" w:rsidRPr="006C2F02" w14:paraId="07FD58CC" w14:textId="77777777" w:rsidTr="00225F7F">
        <w:trPr>
          <w:trHeight w:val="210"/>
        </w:trPr>
        <w:tc>
          <w:tcPr>
            <w:tcW w:w="9073" w:type="dxa"/>
            <w:gridSpan w:val="2"/>
            <w:shd w:val="clear" w:color="auto" w:fill="auto"/>
          </w:tcPr>
          <w:p w14:paraId="10362385" w14:textId="4B7C61FB" w:rsidR="00775946" w:rsidRPr="006C2F02" w:rsidRDefault="00B9204B" w:rsidP="00225F7F">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AS</w:t>
            </w:r>
          </w:p>
        </w:tc>
      </w:tr>
      <w:tr w:rsidR="00775946" w:rsidRPr="006C2F02" w14:paraId="5CC22342" w14:textId="77777777" w:rsidTr="00225F7F">
        <w:trPr>
          <w:trHeight w:val="210"/>
        </w:trPr>
        <w:tc>
          <w:tcPr>
            <w:tcW w:w="9073" w:type="dxa"/>
            <w:gridSpan w:val="2"/>
            <w:shd w:val="clear" w:color="auto" w:fill="auto"/>
          </w:tcPr>
          <w:p w14:paraId="1D44356C" w14:textId="77777777" w:rsidR="00775946" w:rsidRPr="006C2F02" w:rsidRDefault="00775946" w:rsidP="00225F7F">
            <w:pPr>
              <w:pStyle w:val="Default"/>
              <w:rPr>
                <w:b/>
                <w:color w:val="auto"/>
                <w:sz w:val="18"/>
                <w:szCs w:val="18"/>
              </w:rPr>
            </w:pPr>
            <w:r>
              <w:rPr>
                <w:b/>
                <w:color w:val="auto"/>
                <w:sz w:val="18"/>
                <w:szCs w:val="18"/>
              </w:rPr>
              <w:t>Costs of new and existing investments (see also performance plan item 2)</w:t>
            </w:r>
          </w:p>
        </w:tc>
      </w:tr>
      <w:tr w:rsidR="00775946" w:rsidRPr="002D6CCF" w14:paraId="35163CF0" w14:textId="77777777" w:rsidTr="00225F7F">
        <w:tc>
          <w:tcPr>
            <w:tcW w:w="2269" w:type="dxa"/>
            <w:shd w:val="clear" w:color="auto" w:fill="auto"/>
            <w:vAlign w:val="bottom"/>
          </w:tcPr>
          <w:p w14:paraId="1ECF8F91" w14:textId="77777777" w:rsidR="00775946" w:rsidRPr="002D6CCF" w:rsidRDefault="00775946" w:rsidP="00225F7F">
            <w:pPr>
              <w:spacing w:before="0" w:after="0"/>
              <w:jc w:val="left"/>
              <w:rPr>
                <w:rFonts w:ascii="Calibri" w:hAnsi="Calibri" w:cs="Calibri"/>
                <w:sz w:val="18"/>
                <w:szCs w:val="18"/>
              </w:rPr>
            </w:pPr>
            <w:r w:rsidRPr="002D6CCF">
              <w:rPr>
                <w:rFonts w:ascii="Calibri" w:hAnsi="Calibri" w:cs="Calibri"/>
                <w:sz w:val="18"/>
                <w:szCs w:val="18"/>
              </w:rPr>
              <w:t>3.10  Depreciation</w:t>
            </w:r>
          </w:p>
        </w:tc>
        <w:tc>
          <w:tcPr>
            <w:tcW w:w="6804" w:type="dxa"/>
            <w:shd w:val="clear" w:color="auto" w:fill="auto"/>
          </w:tcPr>
          <w:p w14:paraId="1BC3796E" w14:textId="77777777" w:rsidR="00775946" w:rsidRPr="00977A44" w:rsidRDefault="00775946" w:rsidP="00225F7F">
            <w:pPr>
              <w:pStyle w:val="Default"/>
              <w:rPr>
                <w:bCs/>
                <w:iCs/>
                <w:color w:val="auto"/>
                <w:sz w:val="18"/>
                <w:szCs w:val="18"/>
              </w:rPr>
            </w:pPr>
            <w:r w:rsidRPr="00977A44">
              <w:rPr>
                <w:bCs/>
                <w:iCs/>
                <w:color w:val="auto"/>
                <w:sz w:val="18"/>
                <w:szCs w:val="18"/>
              </w:rPr>
              <w:t>Covered in item f) above</w:t>
            </w:r>
          </w:p>
        </w:tc>
      </w:tr>
      <w:tr w:rsidR="00775946" w:rsidRPr="009D72C7" w14:paraId="2ADDE418" w14:textId="77777777" w:rsidTr="00225F7F">
        <w:tc>
          <w:tcPr>
            <w:tcW w:w="2269" w:type="dxa"/>
            <w:shd w:val="clear" w:color="auto" w:fill="auto"/>
            <w:vAlign w:val="bottom"/>
          </w:tcPr>
          <w:p w14:paraId="312CA412" w14:textId="77777777" w:rsidR="00775946" w:rsidRDefault="00775946" w:rsidP="00225F7F">
            <w:pPr>
              <w:rPr>
                <w:rFonts w:ascii="Calibri" w:hAnsi="Calibri" w:cs="Calibri"/>
                <w:sz w:val="18"/>
                <w:szCs w:val="18"/>
              </w:rPr>
            </w:pPr>
            <w:r>
              <w:rPr>
                <w:rFonts w:ascii="Calibri" w:hAnsi="Calibri" w:cs="Calibri"/>
                <w:sz w:val="18"/>
                <w:szCs w:val="18"/>
              </w:rPr>
              <w:t xml:space="preserve">3.11  Cost of capital </w:t>
            </w:r>
          </w:p>
        </w:tc>
        <w:tc>
          <w:tcPr>
            <w:tcW w:w="6804" w:type="dxa"/>
            <w:shd w:val="clear" w:color="auto" w:fill="auto"/>
          </w:tcPr>
          <w:p w14:paraId="189F1B10" w14:textId="6105921A" w:rsidR="00775946" w:rsidRPr="00977A44" w:rsidRDefault="00B9204B" w:rsidP="00D35ED1">
            <w:pPr>
              <w:pStyle w:val="Default"/>
              <w:jc w:val="both"/>
              <w:rPr>
                <w:bCs/>
                <w:iCs/>
                <w:color w:val="auto"/>
                <w:sz w:val="18"/>
                <w:szCs w:val="18"/>
                <w:lang w:val="en-US"/>
              </w:rPr>
            </w:pPr>
            <w:r w:rsidRPr="00977A44">
              <w:rPr>
                <w:bCs/>
                <w:iCs/>
                <w:color w:val="auto"/>
                <w:sz w:val="18"/>
                <w:szCs w:val="18"/>
                <w:lang w:val="en-US"/>
              </w:rPr>
              <w:t xml:space="preserve">Based on the latest assessment of the cost of capital, done by Oslo Economics. </w:t>
            </w:r>
          </w:p>
        </w:tc>
      </w:tr>
      <w:tr w:rsidR="00D35ED1" w:rsidRPr="00425B26" w14:paraId="3E4909B1" w14:textId="77777777" w:rsidTr="00225F7F">
        <w:tc>
          <w:tcPr>
            <w:tcW w:w="2269" w:type="dxa"/>
            <w:shd w:val="clear" w:color="auto" w:fill="auto"/>
            <w:vAlign w:val="center"/>
          </w:tcPr>
          <w:p w14:paraId="1D8437CD" w14:textId="77777777" w:rsidR="00D35ED1" w:rsidRDefault="00D35ED1" w:rsidP="00D35ED1">
            <w:pPr>
              <w:rPr>
                <w:rFonts w:ascii="Calibri" w:hAnsi="Calibri" w:cs="Calibri"/>
                <w:sz w:val="18"/>
                <w:szCs w:val="18"/>
              </w:rPr>
            </w:pPr>
            <w:r>
              <w:rPr>
                <w:rFonts w:ascii="Calibri" w:hAnsi="Calibri" w:cs="Calibri"/>
                <w:sz w:val="18"/>
                <w:szCs w:val="18"/>
              </w:rPr>
              <w:t xml:space="preserve">3.12  Cost of leasing </w:t>
            </w:r>
          </w:p>
        </w:tc>
        <w:tc>
          <w:tcPr>
            <w:tcW w:w="6804" w:type="dxa"/>
            <w:shd w:val="clear" w:color="auto" w:fill="auto"/>
          </w:tcPr>
          <w:p w14:paraId="745D6718" w14:textId="1C66C944" w:rsidR="00D35ED1" w:rsidRPr="002D6CCF" w:rsidRDefault="00B9204B" w:rsidP="00D35ED1">
            <w:pPr>
              <w:pStyle w:val="Default"/>
              <w:jc w:val="both"/>
              <w:rPr>
                <w:bCs/>
                <w:iCs/>
                <w:color w:val="auto"/>
                <w:sz w:val="18"/>
                <w:szCs w:val="18"/>
                <w:highlight w:val="red"/>
                <w:lang w:val="en-US"/>
              </w:rPr>
            </w:pPr>
            <w:r w:rsidRPr="00B9204B">
              <w:rPr>
                <w:bCs/>
                <w:iCs/>
                <w:color w:val="auto"/>
                <w:sz w:val="18"/>
                <w:szCs w:val="18"/>
                <w:lang w:val="en-US"/>
              </w:rPr>
              <w:t>N/A</w:t>
            </w:r>
          </w:p>
        </w:tc>
      </w:tr>
    </w:tbl>
    <w:p w14:paraId="13059C74"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9203C2" w:rsidRPr="006C2F02" w14:paraId="6222CED2" w14:textId="77777777" w:rsidTr="00D35ED1">
        <w:trPr>
          <w:trHeight w:val="210"/>
        </w:trPr>
        <w:tc>
          <w:tcPr>
            <w:tcW w:w="9073" w:type="dxa"/>
            <w:gridSpan w:val="2"/>
            <w:shd w:val="clear" w:color="auto" w:fill="auto"/>
          </w:tcPr>
          <w:p w14:paraId="594FB6C0" w14:textId="77777777" w:rsidR="009203C2" w:rsidRPr="006C2F02" w:rsidRDefault="009203C2" w:rsidP="002D6CCF">
            <w:pPr>
              <w:pStyle w:val="Default"/>
              <w:rPr>
                <w:b/>
                <w:color w:val="auto"/>
                <w:sz w:val="18"/>
                <w:szCs w:val="18"/>
              </w:rPr>
            </w:pPr>
            <w:proofErr w:type="spellStart"/>
            <w:r>
              <w:rPr>
                <w:b/>
                <w:color w:val="auto"/>
                <w:sz w:val="18"/>
                <w:szCs w:val="18"/>
              </w:rPr>
              <w:t>Eurocontrol</w:t>
            </w:r>
            <w:proofErr w:type="spellEnd"/>
            <w:r>
              <w:rPr>
                <w:b/>
                <w:color w:val="auto"/>
                <w:sz w:val="18"/>
                <w:szCs w:val="18"/>
              </w:rPr>
              <w:t xml:space="preserve"> costs</w:t>
            </w:r>
          </w:p>
        </w:tc>
      </w:tr>
      <w:tr w:rsidR="00D35ED1" w:rsidRPr="00D4056A" w14:paraId="32FDF643" w14:textId="77777777" w:rsidTr="00D35ED1">
        <w:tc>
          <w:tcPr>
            <w:tcW w:w="2269" w:type="dxa"/>
            <w:shd w:val="clear" w:color="auto" w:fill="auto"/>
            <w:vAlign w:val="bottom"/>
          </w:tcPr>
          <w:p w14:paraId="6C653DC8" w14:textId="77777777" w:rsidR="00D35ED1" w:rsidRDefault="00D35ED1" w:rsidP="00D35ED1">
            <w:pPr>
              <w:spacing w:before="0" w:after="0"/>
              <w:jc w:val="left"/>
              <w:rPr>
                <w:rFonts w:ascii="Calibri" w:hAnsi="Calibri" w:cs="Calibri"/>
                <w:sz w:val="18"/>
                <w:szCs w:val="18"/>
              </w:rPr>
            </w:pPr>
            <w:r>
              <w:rPr>
                <w:rFonts w:ascii="Calibri" w:hAnsi="Calibri" w:cs="Calibri"/>
                <w:sz w:val="18"/>
                <w:szCs w:val="18"/>
              </w:rPr>
              <w:t xml:space="preserve">3.13 </w:t>
            </w:r>
            <w:proofErr w:type="spellStart"/>
            <w:r>
              <w:rPr>
                <w:rFonts w:ascii="Calibri" w:hAnsi="Calibri" w:cs="Calibri"/>
                <w:sz w:val="18"/>
                <w:szCs w:val="18"/>
              </w:rPr>
              <w:t>Eurocontrol</w:t>
            </w:r>
            <w:proofErr w:type="spellEnd"/>
            <w:r>
              <w:rPr>
                <w:rFonts w:ascii="Calibri" w:hAnsi="Calibri" w:cs="Calibri"/>
                <w:sz w:val="18"/>
                <w:szCs w:val="18"/>
              </w:rPr>
              <w:t xml:space="preserve"> costs (Euro)</w:t>
            </w:r>
          </w:p>
        </w:tc>
        <w:tc>
          <w:tcPr>
            <w:tcW w:w="6804" w:type="dxa"/>
            <w:shd w:val="clear" w:color="auto" w:fill="auto"/>
          </w:tcPr>
          <w:p w14:paraId="0300064A" w14:textId="12A16C22" w:rsidR="00D35ED1" w:rsidRPr="002D6CCF" w:rsidRDefault="00943A2F" w:rsidP="00D35ED1">
            <w:pPr>
              <w:pStyle w:val="Default"/>
              <w:jc w:val="both"/>
              <w:rPr>
                <w:bCs/>
                <w:iCs/>
                <w:color w:val="auto"/>
                <w:sz w:val="18"/>
                <w:szCs w:val="18"/>
                <w:highlight w:val="red"/>
                <w:lang w:val="en-US"/>
              </w:rPr>
            </w:pPr>
            <w:r w:rsidRPr="00B9204B">
              <w:rPr>
                <w:bCs/>
                <w:iCs/>
                <w:color w:val="auto"/>
                <w:sz w:val="18"/>
                <w:szCs w:val="18"/>
                <w:lang w:val="en-US"/>
              </w:rPr>
              <w:t>N/A</w:t>
            </w:r>
          </w:p>
        </w:tc>
      </w:tr>
      <w:tr w:rsidR="00D35ED1" w:rsidRPr="009D72C7" w14:paraId="6A18A804" w14:textId="77777777" w:rsidTr="00D35ED1">
        <w:tc>
          <w:tcPr>
            <w:tcW w:w="2269" w:type="dxa"/>
            <w:shd w:val="clear" w:color="auto" w:fill="auto"/>
            <w:vAlign w:val="bottom"/>
          </w:tcPr>
          <w:p w14:paraId="53DD36B7" w14:textId="77777777" w:rsidR="00D35ED1" w:rsidRDefault="00D35ED1" w:rsidP="00D35ED1">
            <w:pPr>
              <w:rPr>
                <w:rFonts w:ascii="Calibri" w:hAnsi="Calibri" w:cs="Calibri"/>
                <w:sz w:val="18"/>
                <w:szCs w:val="18"/>
              </w:rPr>
            </w:pPr>
            <w:r>
              <w:rPr>
                <w:rFonts w:ascii="Calibri" w:hAnsi="Calibri" w:cs="Calibri"/>
                <w:sz w:val="18"/>
                <w:szCs w:val="18"/>
              </w:rPr>
              <w:t>3.14 Exchange rate (if applicable)</w:t>
            </w:r>
          </w:p>
        </w:tc>
        <w:tc>
          <w:tcPr>
            <w:tcW w:w="6804" w:type="dxa"/>
            <w:shd w:val="clear" w:color="auto" w:fill="auto"/>
          </w:tcPr>
          <w:p w14:paraId="6888FB2C" w14:textId="4CB97CD5" w:rsidR="00D35ED1" w:rsidRPr="002D6CCF" w:rsidRDefault="00943A2F" w:rsidP="00D35ED1">
            <w:pPr>
              <w:pStyle w:val="Default"/>
              <w:jc w:val="both"/>
              <w:rPr>
                <w:bCs/>
                <w:iCs/>
                <w:color w:val="auto"/>
                <w:sz w:val="18"/>
                <w:szCs w:val="18"/>
                <w:highlight w:val="red"/>
                <w:lang w:val="en-US"/>
              </w:rPr>
            </w:pPr>
            <w:r>
              <w:rPr>
                <w:bCs/>
                <w:iCs/>
                <w:color w:val="auto"/>
                <w:sz w:val="18"/>
                <w:szCs w:val="18"/>
                <w:lang w:val="en-US"/>
              </w:rPr>
              <w:t>N</w:t>
            </w:r>
            <w:r w:rsidRPr="00943A2F">
              <w:rPr>
                <w:bCs/>
                <w:iCs/>
                <w:color w:val="auto"/>
                <w:sz w:val="18"/>
                <w:szCs w:val="18"/>
                <w:lang w:val="en-US"/>
              </w:rPr>
              <w:t>ot relevant</w:t>
            </w:r>
            <w:r>
              <w:rPr>
                <w:bCs/>
                <w:iCs/>
                <w:color w:val="auto"/>
                <w:sz w:val="18"/>
                <w:szCs w:val="18"/>
                <w:lang w:val="en-US"/>
              </w:rPr>
              <w:t xml:space="preserve"> for TN charges</w:t>
            </w:r>
          </w:p>
        </w:tc>
      </w:tr>
    </w:tbl>
    <w:p w14:paraId="4EF283E9" w14:textId="77777777" w:rsidR="00352E4E" w:rsidRDefault="00352E4E" w:rsidP="00352E4E">
      <w:pPr>
        <w:pStyle w:val="Default"/>
        <w:jc w:val="both"/>
        <w:rPr>
          <w:rFonts w:ascii="Arial" w:hAnsi="Arial" w:cs="Arial"/>
          <w:color w:val="17365D"/>
          <w:sz w:val="20"/>
          <w:szCs w:val="20"/>
        </w:rPr>
      </w:pPr>
    </w:p>
    <w:p w14:paraId="48BB4F0C" w14:textId="71B4824F" w:rsidR="00B35DF6" w:rsidRDefault="00B35DF6">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F554361" w14:textId="77777777" w:rsidTr="00B35DF6">
        <w:tc>
          <w:tcPr>
            <w:tcW w:w="9060" w:type="dxa"/>
            <w:shd w:val="clear" w:color="auto" w:fill="C6D9F1"/>
          </w:tcPr>
          <w:p w14:paraId="54D44B30" w14:textId="77777777" w:rsidR="00352E4E" w:rsidRPr="00CA5B88" w:rsidRDefault="00352E4E" w:rsidP="00352E4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lastRenderedPageBreak/>
              <w:t>i</w:t>
            </w:r>
            <w:proofErr w:type="spellEnd"/>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assumptions used to compute the cost of capital (point 1.4 of Table 1), including the composition of the asset base, the return on equity, the average interest on debts and the shares of financing of the asset base through debt and equity;</w:t>
            </w:r>
          </w:p>
        </w:tc>
      </w:tr>
    </w:tbl>
    <w:p w14:paraId="644D3BD4" w14:textId="10F0F0C1" w:rsidR="00352E4E" w:rsidRDefault="00352E4E" w:rsidP="00601109">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663"/>
      </w:tblGrid>
      <w:tr w:rsidR="00400AD3" w:rsidRPr="006C2F02" w14:paraId="31C2BE93" w14:textId="77777777" w:rsidTr="00BF7D94">
        <w:trPr>
          <w:trHeight w:val="230"/>
        </w:trPr>
        <w:tc>
          <w:tcPr>
            <w:tcW w:w="9073" w:type="dxa"/>
            <w:gridSpan w:val="2"/>
            <w:shd w:val="clear" w:color="auto" w:fill="auto"/>
          </w:tcPr>
          <w:p w14:paraId="061A15CB" w14:textId="3E517C96" w:rsidR="00400AD3" w:rsidRPr="006C2F02" w:rsidRDefault="00400AD3" w:rsidP="00BF7D94">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AS</w:t>
            </w:r>
          </w:p>
        </w:tc>
      </w:tr>
      <w:tr w:rsidR="00400AD3" w:rsidRPr="006C459D" w14:paraId="3D217509" w14:textId="77777777" w:rsidTr="00BF7D94">
        <w:trPr>
          <w:trHeight w:val="210"/>
        </w:trPr>
        <w:tc>
          <w:tcPr>
            <w:tcW w:w="9073" w:type="dxa"/>
            <w:gridSpan w:val="2"/>
            <w:shd w:val="clear" w:color="auto" w:fill="auto"/>
          </w:tcPr>
          <w:p w14:paraId="1715DF3A" w14:textId="77777777" w:rsidR="00400AD3" w:rsidRPr="006C459D" w:rsidRDefault="00400AD3" w:rsidP="00BF7D94">
            <w:pPr>
              <w:spacing w:before="0" w:after="0"/>
              <w:jc w:val="left"/>
              <w:rPr>
                <w:rFonts w:ascii="Calibri" w:hAnsi="Calibri" w:cs="Calibri"/>
                <w:b/>
                <w:bCs/>
                <w:sz w:val="18"/>
                <w:szCs w:val="18"/>
              </w:rPr>
            </w:pPr>
            <w:r w:rsidRPr="009203C2">
              <w:rPr>
                <w:rFonts w:ascii="Calibri" w:hAnsi="Calibri" w:cs="Calibri"/>
                <w:b/>
                <w:bCs/>
                <w:sz w:val="18"/>
                <w:szCs w:val="18"/>
              </w:rPr>
              <w:t>Average asset base</w:t>
            </w:r>
          </w:p>
        </w:tc>
      </w:tr>
      <w:tr w:rsidR="00400AD3" w14:paraId="5AC605D5" w14:textId="77777777" w:rsidTr="00BF7D94">
        <w:tc>
          <w:tcPr>
            <w:tcW w:w="2410" w:type="dxa"/>
            <w:shd w:val="clear" w:color="auto" w:fill="auto"/>
          </w:tcPr>
          <w:p w14:paraId="4793A041" w14:textId="77777777" w:rsidR="00400AD3" w:rsidRPr="009203C2" w:rsidRDefault="00400AD3" w:rsidP="00BF7D94">
            <w:pPr>
              <w:pStyle w:val="Default"/>
              <w:rPr>
                <w:bCs/>
                <w:color w:val="auto"/>
                <w:sz w:val="18"/>
                <w:szCs w:val="18"/>
              </w:rPr>
            </w:pPr>
            <w:r w:rsidRPr="009203C2">
              <w:rPr>
                <w:bCs/>
                <w:color w:val="auto"/>
                <w:sz w:val="18"/>
                <w:szCs w:val="18"/>
              </w:rPr>
              <w:t>3.1</w:t>
            </w:r>
            <w:r>
              <w:rPr>
                <w:bCs/>
                <w:color w:val="auto"/>
                <w:sz w:val="18"/>
                <w:szCs w:val="18"/>
              </w:rPr>
              <w:t xml:space="preserve"> </w:t>
            </w:r>
            <w:r w:rsidRPr="009203C2">
              <w:rPr>
                <w:bCs/>
                <w:color w:val="auto"/>
                <w:sz w:val="18"/>
                <w:szCs w:val="18"/>
              </w:rPr>
              <w:t>N</w:t>
            </w:r>
            <w:r>
              <w:rPr>
                <w:bCs/>
                <w:color w:val="auto"/>
                <w:sz w:val="18"/>
                <w:szCs w:val="18"/>
              </w:rPr>
              <w:t>BV</w:t>
            </w:r>
            <w:r w:rsidRPr="009203C2">
              <w:rPr>
                <w:bCs/>
                <w:color w:val="auto"/>
                <w:sz w:val="18"/>
                <w:szCs w:val="18"/>
              </w:rPr>
              <w:t xml:space="preserve"> fixed assets</w:t>
            </w:r>
          </w:p>
        </w:tc>
        <w:tc>
          <w:tcPr>
            <w:tcW w:w="6663" w:type="dxa"/>
            <w:shd w:val="clear" w:color="auto" w:fill="auto"/>
          </w:tcPr>
          <w:p w14:paraId="0577AA1E" w14:textId="77777777" w:rsidR="00400AD3" w:rsidRDefault="00400AD3" w:rsidP="00BF7D94">
            <w:pPr>
              <w:pStyle w:val="Default"/>
              <w:rPr>
                <w:bCs/>
                <w:iCs/>
                <w:color w:val="auto"/>
                <w:sz w:val="18"/>
                <w:szCs w:val="18"/>
                <w:lang w:val="en-US"/>
              </w:rPr>
            </w:pPr>
            <w:r>
              <w:rPr>
                <w:rFonts w:cs="Arial"/>
                <w:color w:val="auto"/>
                <w:sz w:val="18"/>
                <w:szCs w:val="18"/>
              </w:rPr>
              <w:t xml:space="preserve">Based on the financial forecast for </w:t>
            </w:r>
            <w:proofErr w:type="spellStart"/>
            <w:r>
              <w:rPr>
                <w:rFonts w:cs="Arial"/>
                <w:color w:val="auto"/>
                <w:sz w:val="18"/>
                <w:szCs w:val="18"/>
              </w:rPr>
              <w:t>Avinor</w:t>
            </w:r>
            <w:proofErr w:type="spellEnd"/>
            <w:r>
              <w:rPr>
                <w:rFonts w:cs="Arial"/>
                <w:color w:val="auto"/>
                <w:sz w:val="18"/>
                <w:szCs w:val="18"/>
              </w:rPr>
              <w:t xml:space="preserve"> AS and </w:t>
            </w:r>
            <w:proofErr w:type="spellStart"/>
            <w:r>
              <w:rPr>
                <w:rFonts w:cs="Arial"/>
                <w:color w:val="auto"/>
                <w:sz w:val="18"/>
                <w:szCs w:val="18"/>
              </w:rPr>
              <w:t>Avinor</w:t>
            </w:r>
            <w:proofErr w:type="spellEnd"/>
            <w:r>
              <w:rPr>
                <w:rFonts w:cs="Arial"/>
                <w:color w:val="auto"/>
                <w:sz w:val="18"/>
                <w:szCs w:val="18"/>
              </w:rPr>
              <w:t xml:space="preserve"> ANS and the actual share of fixed assets </w:t>
            </w:r>
            <w:r w:rsidRPr="0050381D">
              <w:rPr>
                <w:rFonts w:cs="Arial"/>
                <w:color w:val="auto"/>
                <w:sz w:val="18"/>
                <w:szCs w:val="18"/>
              </w:rPr>
              <w:t xml:space="preserve">used for </w:t>
            </w:r>
            <w:r>
              <w:rPr>
                <w:rFonts w:cs="Arial"/>
                <w:color w:val="auto"/>
                <w:sz w:val="18"/>
                <w:szCs w:val="18"/>
              </w:rPr>
              <w:t>TNC</w:t>
            </w:r>
            <w:r w:rsidRPr="0050381D">
              <w:rPr>
                <w:rFonts w:cs="Arial"/>
                <w:color w:val="auto"/>
                <w:sz w:val="18"/>
                <w:szCs w:val="18"/>
              </w:rPr>
              <w:t xml:space="preserve"> services</w:t>
            </w:r>
            <w:r>
              <w:rPr>
                <w:rFonts w:cs="Arial"/>
                <w:color w:val="auto"/>
                <w:sz w:val="18"/>
                <w:szCs w:val="18"/>
              </w:rPr>
              <w:t xml:space="preserve">.  </w:t>
            </w:r>
          </w:p>
        </w:tc>
      </w:tr>
      <w:tr w:rsidR="00400AD3" w:rsidRPr="002F7228" w14:paraId="2E8B00DF" w14:textId="77777777" w:rsidTr="00BF7D94">
        <w:tc>
          <w:tcPr>
            <w:tcW w:w="2410" w:type="dxa"/>
            <w:shd w:val="clear" w:color="auto" w:fill="auto"/>
          </w:tcPr>
          <w:p w14:paraId="79DA9A69" w14:textId="77777777" w:rsidR="00400AD3" w:rsidRPr="009203C2" w:rsidRDefault="00400AD3" w:rsidP="00BF7D94">
            <w:pPr>
              <w:pStyle w:val="Default"/>
              <w:rPr>
                <w:bCs/>
                <w:color w:val="auto"/>
                <w:sz w:val="18"/>
                <w:szCs w:val="18"/>
              </w:rPr>
            </w:pPr>
            <w:r w:rsidRPr="009203C2">
              <w:rPr>
                <w:bCs/>
                <w:color w:val="auto"/>
                <w:sz w:val="18"/>
                <w:szCs w:val="18"/>
              </w:rPr>
              <w:t>3.2</w:t>
            </w:r>
            <w:r>
              <w:rPr>
                <w:bCs/>
                <w:color w:val="auto"/>
                <w:sz w:val="18"/>
                <w:szCs w:val="18"/>
              </w:rPr>
              <w:t xml:space="preserve"> A</w:t>
            </w:r>
            <w:r w:rsidRPr="009203C2">
              <w:rPr>
                <w:bCs/>
                <w:color w:val="auto"/>
                <w:sz w:val="18"/>
                <w:szCs w:val="18"/>
              </w:rPr>
              <w:t>djustments total assets</w:t>
            </w:r>
          </w:p>
        </w:tc>
        <w:tc>
          <w:tcPr>
            <w:tcW w:w="6663" w:type="dxa"/>
            <w:shd w:val="clear" w:color="auto" w:fill="auto"/>
          </w:tcPr>
          <w:p w14:paraId="5262ACC6" w14:textId="77777777" w:rsidR="00400AD3" w:rsidRPr="002F7228" w:rsidRDefault="00400AD3" w:rsidP="00BF7D94">
            <w:pPr>
              <w:pStyle w:val="Default"/>
              <w:rPr>
                <w:bCs/>
                <w:iCs/>
                <w:color w:val="auto"/>
                <w:sz w:val="18"/>
                <w:szCs w:val="18"/>
                <w:lang w:val="en-US"/>
              </w:rPr>
            </w:pPr>
          </w:p>
        </w:tc>
      </w:tr>
      <w:tr w:rsidR="00400AD3" w:rsidRPr="002F7228" w14:paraId="62116A03" w14:textId="77777777" w:rsidTr="00BF7D94">
        <w:tc>
          <w:tcPr>
            <w:tcW w:w="2410" w:type="dxa"/>
            <w:shd w:val="clear" w:color="auto" w:fill="auto"/>
            <w:vAlign w:val="bottom"/>
          </w:tcPr>
          <w:p w14:paraId="25AD35CB" w14:textId="77777777" w:rsidR="00400AD3" w:rsidRPr="009203C2" w:rsidRDefault="00400AD3" w:rsidP="00BF7D94">
            <w:pPr>
              <w:spacing w:before="0" w:after="0"/>
              <w:jc w:val="left"/>
              <w:rPr>
                <w:rFonts w:ascii="Calibri" w:hAnsi="Calibri" w:cs="Calibri"/>
                <w:sz w:val="18"/>
                <w:szCs w:val="18"/>
                <w:lang w:val="fr-BE" w:eastAsia="fr-BE"/>
              </w:rPr>
            </w:pPr>
            <w:r w:rsidRPr="009203C2">
              <w:rPr>
                <w:rFonts w:ascii="Calibri" w:hAnsi="Calibri" w:cs="Calibri"/>
                <w:sz w:val="18"/>
                <w:szCs w:val="18"/>
                <w:lang w:val="fr-BE" w:eastAsia="fr-BE"/>
              </w:rPr>
              <w:t>3.3  Net current assets</w:t>
            </w:r>
          </w:p>
        </w:tc>
        <w:tc>
          <w:tcPr>
            <w:tcW w:w="6663" w:type="dxa"/>
            <w:shd w:val="clear" w:color="auto" w:fill="auto"/>
          </w:tcPr>
          <w:p w14:paraId="00F56ADE" w14:textId="77777777" w:rsidR="00400AD3" w:rsidRPr="002F7228" w:rsidRDefault="00400AD3" w:rsidP="00BF7D94">
            <w:pPr>
              <w:pStyle w:val="Default"/>
              <w:jc w:val="both"/>
              <w:rPr>
                <w:bCs/>
                <w:iCs/>
                <w:color w:val="auto"/>
                <w:sz w:val="18"/>
                <w:szCs w:val="18"/>
                <w:lang w:val="en-US"/>
              </w:rPr>
            </w:pPr>
            <w:r>
              <w:rPr>
                <w:rFonts w:cs="Arial"/>
                <w:color w:val="auto"/>
                <w:sz w:val="18"/>
                <w:szCs w:val="18"/>
              </w:rPr>
              <w:t xml:space="preserve">Based on the financial forecast for </w:t>
            </w:r>
            <w:proofErr w:type="spellStart"/>
            <w:r>
              <w:rPr>
                <w:rFonts w:cs="Arial"/>
                <w:color w:val="auto"/>
                <w:sz w:val="18"/>
                <w:szCs w:val="18"/>
              </w:rPr>
              <w:t>Avinor</w:t>
            </w:r>
            <w:proofErr w:type="spellEnd"/>
            <w:r>
              <w:rPr>
                <w:rFonts w:cs="Arial"/>
                <w:color w:val="auto"/>
                <w:sz w:val="18"/>
                <w:szCs w:val="18"/>
              </w:rPr>
              <w:t xml:space="preserve"> AS and </w:t>
            </w:r>
            <w:proofErr w:type="spellStart"/>
            <w:r>
              <w:rPr>
                <w:rFonts w:cs="Arial"/>
                <w:color w:val="auto"/>
                <w:sz w:val="18"/>
                <w:szCs w:val="18"/>
              </w:rPr>
              <w:t>Avinor</w:t>
            </w:r>
            <w:proofErr w:type="spellEnd"/>
            <w:r>
              <w:rPr>
                <w:rFonts w:cs="Arial"/>
                <w:color w:val="auto"/>
                <w:sz w:val="18"/>
                <w:szCs w:val="18"/>
              </w:rPr>
              <w:t xml:space="preserve"> ANS, and the share of fixed assets used for TNC</w:t>
            </w:r>
            <w:r w:rsidRPr="0050381D">
              <w:rPr>
                <w:rFonts w:cs="Arial"/>
                <w:color w:val="auto"/>
                <w:sz w:val="18"/>
                <w:szCs w:val="18"/>
              </w:rPr>
              <w:t xml:space="preserve"> services</w:t>
            </w:r>
            <w:r>
              <w:rPr>
                <w:rFonts w:cs="Arial"/>
                <w:color w:val="auto"/>
                <w:sz w:val="18"/>
                <w:szCs w:val="18"/>
              </w:rPr>
              <w:t xml:space="preserve"> and the share of working capital related to TNC services. </w:t>
            </w:r>
          </w:p>
        </w:tc>
      </w:tr>
      <w:tr w:rsidR="00400AD3" w:rsidRPr="006C459D" w14:paraId="5D742CF8" w14:textId="77777777" w:rsidTr="00BF7D94">
        <w:trPr>
          <w:trHeight w:val="210"/>
        </w:trPr>
        <w:tc>
          <w:tcPr>
            <w:tcW w:w="9073" w:type="dxa"/>
            <w:gridSpan w:val="2"/>
            <w:shd w:val="clear" w:color="auto" w:fill="auto"/>
          </w:tcPr>
          <w:p w14:paraId="511CEB1A" w14:textId="77777777" w:rsidR="00400AD3" w:rsidRPr="006C459D" w:rsidRDefault="00400AD3" w:rsidP="00BF7D94">
            <w:pPr>
              <w:spacing w:before="0" w:after="0"/>
              <w:jc w:val="left"/>
              <w:rPr>
                <w:rFonts w:ascii="Calibri" w:hAnsi="Calibri" w:cs="Calibri"/>
                <w:b/>
                <w:bCs/>
                <w:sz w:val="18"/>
                <w:szCs w:val="18"/>
              </w:rPr>
            </w:pPr>
            <w:r>
              <w:rPr>
                <w:rFonts w:ascii="Calibri" w:hAnsi="Calibri" w:cs="Calibri"/>
                <w:b/>
                <w:bCs/>
                <w:sz w:val="18"/>
                <w:szCs w:val="18"/>
              </w:rPr>
              <w:t>Cost of capital %</w:t>
            </w:r>
          </w:p>
        </w:tc>
      </w:tr>
      <w:tr w:rsidR="00400AD3" w:rsidRPr="00470900" w14:paraId="7D154B9D" w14:textId="77777777" w:rsidTr="00BF7D94">
        <w:tc>
          <w:tcPr>
            <w:tcW w:w="2410" w:type="dxa"/>
            <w:shd w:val="clear" w:color="auto" w:fill="auto"/>
            <w:vAlign w:val="center"/>
          </w:tcPr>
          <w:p w14:paraId="4CEE0ED8" w14:textId="77777777" w:rsidR="00400AD3" w:rsidRPr="00470900" w:rsidRDefault="00400AD3" w:rsidP="00BF7D94">
            <w:pPr>
              <w:pStyle w:val="Default"/>
              <w:rPr>
                <w:bCs/>
                <w:color w:val="auto"/>
                <w:sz w:val="18"/>
                <w:szCs w:val="18"/>
              </w:rPr>
            </w:pPr>
            <w:r w:rsidRPr="00470900">
              <w:rPr>
                <w:bCs/>
                <w:color w:val="auto"/>
                <w:sz w:val="18"/>
                <w:szCs w:val="18"/>
              </w:rPr>
              <w:t>3.6 Return on equity</w:t>
            </w:r>
          </w:p>
        </w:tc>
        <w:tc>
          <w:tcPr>
            <w:tcW w:w="6663" w:type="dxa"/>
            <w:shd w:val="clear" w:color="auto" w:fill="auto"/>
          </w:tcPr>
          <w:p w14:paraId="49B342C5" w14:textId="77777777" w:rsidR="00400AD3" w:rsidRPr="00470900" w:rsidRDefault="00400AD3" w:rsidP="00400AD3">
            <w:pPr>
              <w:rPr>
                <w:bCs/>
                <w:sz w:val="18"/>
                <w:szCs w:val="18"/>
              </w:rPr>
            </w:pPr>
          </w:p>
        </w:tc>
      </w:tr>
    </w:tbl>
    <w:p w14:paraId="0650CB3F" w14:textId="6491ED07" w:rsidR="00400AD3" w:rsidRDefault="00400AD3" w:rsidP="00601109">
      <w:pPr>
        <w:pStyle w:val="Default"/>
        <w:jc w:val="both"/>
        <w:rPr>
          <w:rFonts w:ascii="Arial" w:hAnsi="Arial" w:cs="Arial"/>
          <w:color w:val="17365D"/>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644"/>
        <w:gridCol w:w="996"/>
        <w:gridCol w:w="997"/>
        <w:gridCol w:w="997"/>
        <w:gridCol w:w="997"/>
        <w:gridCol w:w="1060"/>
      </w:tblGrid>
      <w:tr w:rsidR="005C630C" w:rsidRPr="006C2F02" w14:paraId="64F7F17F" w14:textId="77777777" w:rsidTr="00735524">
        <w:trPr>
          <w:trHeight w:val="230"/>
        </w:trPr>
        <w:tc>
          <w:tcPr>
            <w:tcW w:w="9067" w:type="dxa"/>
            <w:gridSpan w:val="7"/>
            <w:shd w:val="clear" w:color="auto" w:fill="auto"/>
          </w:tcPr>
          <w:p w14:paraId="01FD1414" w14:textId="32132F80" w:rsidR="005C630C" w:rsidRPr="006C2F02" w:rsidRDefault="00400AD3" w:rsidP="00A32498">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AS </w:t>
            </w:r>
          </w:p>
        </w:tc>
      </w:tr>
      <w:tr w:rsidR="005C630C" w:rsidRPr="009203C2" w14:paraId="5430B0B6" w14:textId="77777777" w:rsidTr="00735524">
        <w:trPr>
          <w:trHeight w:val="210"/>
        </w:trPr>
        <w:tc>
          <w:tcPr>
            <w:tcW w:w="9067" w:type="dxa"/>
            <w:gridSpan w:val="7"/>
            <w:shd w:val="clear" w:color="auto" w:fill="auto"/>
          </w:tcPr>
          <w:p w14:paraId="16F871C1" w14:textId="77777777" w:rsidR="005C630C" w:rsidRPr="006C459D" w:rsidRDefault="005C630C" w:rsidP="002D6CCF">
            <w:pPr>
              <w:spacing w:before="0" w:after="0"/>
              <w:jc w:val="left"/>
              <w:rPr>
                <w:rFonts w:ascii="Calibri" w:hAnsi="Calibri" w:cs="Calibri"/>
                <w:b/>
                <w:bCs/>
                <w:sz w:val="18"/>
                <w:szCs w:val="18"/>
              </w:rPr>
            </w:pPr>
            <w:r w:rsidRPr="009203C2">
              <w:rPr>
                <w:rFonts w:ascii="Calibri" w:hAnsi="Calibri" w:cs="Calibri"/>
                <w:b/>
                <w:bCs/>
                <w:sz w:val="18"/>
                <w:szCs w:val="18"/>
              </w:rPr>
              <w:t>Average asset base</w:t>
            </w:r>
          </w:p>
        </w:tc>
      </w:tr>
      <w:tr w:rsidR="004775FD" w:rsidRPr="00CA2B9B" w14:paraId="0BD0CDB4" w14:textId="77777777" w:rsidTr="00735524">
        <w:tc>
          <w:tcPr>
            <w:tcW w:w="2376" w:type="dxa"/>
            <w:shd w:val="clear" w:color="auto" w:fill="auto"/>
          </w:tcPr>
          <w:p w14:paraId="6AF80769" w14:textId="77777777" w:rsidR="004775FD" w:rsidRPr="009203C2" w:rsidRDefault="004775FD" w:rsidP="004775FD">
            <w:pPr>
              <w:pStyle w:val="Default"/>
              <w:rPr>
                <w:bCs/>
                <w:color w:val="auto"/>
                <w:sz w:val="18"/>
                <w:szCs w:val="18"/>
              </w:rPr>
            </w:pPr>
            <w:r w:rsidRPr="009203C2">
              <w:rPr>
                <w:bCs/>
                <w:color w:val="auto"/>
                <w:sz w:val="18"/>
                <w:szCs w:val="18"/>
              </w:rPr>
              <w:t>3.1</w:t>
            </w:r>
            <w:r>
              <w:rPr>
                <w:bCs/>
                <w:color w:val="auto"/>
                <w:sz w:val="18"/>
                <w:szCs w:val="18"/>
              </w:rPr>
              <w:t xml:space="preserve"> </w:t>
            </w:r>
            <w:r w:rsidRPr="009203C2">
              <w:rPr>
                <w:bCs/>
                <w:color w:val="auto"/>
                <w:sz w:val="18"/>
                <w:szCs w:val="18"/>
              </w:rPr>
              <w:t>N</w:t>
            </w:r>
            <w:r>
              <w:rPr>
                <w:bCs/>
                <w:color w:val="auto"/>
                <w:sz w:val="18"/>
                <w:szCs w:val="18"/>
              </w:rPr>
              <w:t>BV</w:t>
            </w:r>
            <w:r w:rsidRPr="009203C2">
              <w:rPr>
                <w:bCs/>
                <w:color w:val="auto"/>
                <w:sz w:val="18"/>
                <w:szCs w:val="18"/>
              </w:rPr>
              <w:t xml:space="preserve"> fixed assets</w:t>
            </w:r>
          </w:p>
        </w:tc>
        <w:tc>
          <w:tcPr>
            <w:tcW w:w="6691" w:type="dxa"/>
            <w:gridSpan w:val="6"/>
            <w:shd w:val="clear" w:color="auto" w:fill="auto"/>
          </w:tcPr>
          <w:p w14:paraId="48414A6B" w14:textId="34484280" w:rsidR="004775FD" w:rsidRDefault="004775FD" w:rsidP="004775FD">
            <w:pPr>
              <w:pStyle w:val="Default"/>
              <w:rPr>
                <w:bCs/>
                <w:iCs/>
                <w:color w:val="auto"/>
                <w:sz w:val="18"/>
                <w:szCs w:val="18"/>
                <w:lang w:val="en-US"/>
              </w:rPr>
            </w:pPr>
            <w:r w:rsidRPr="009203C2">
              <w:rPr>
                <w:bCs/>
                <w:color w:val="auto"/>
                <w:sz w:val="18"/>
                <w:szCs w:val="18"/>
              </w:rPr>
              <w:t>N</w:t>
            </w:r>
            <w:r>
              <w:rPr>
                <w:bCs/>
                <w:color w:val="auto"/>
                <w:sz w:val="18"/>
                <w:szCs w:val="18"/>
              </w:rPr>
              <w:t>BV</w:t>
            </w:r>
            <w:r w:rsidRPr="009203C2">
              <w:rPr>
                <w:bCs/>
                <w:color w:val="auto"/>
                <w:sz w:val="18"/>
                <w:szCs w:val="18"/>
              </w:rPr>
              <w:t xml:space="preserve"> fixed assets</w:t>
            </w:r>
            <w:r>
              <w:rPr>
                <w:rFonts w:cs="Arial"/>
                <w:color w:val="auto"/>
                <w:sz w:val="18"/>
                <w:szCs w:val="18"/>
              </w:rPr>
              <w:t xml:space="preserve"> are based on the financial forecast for </w:t>
            </w:r>
            <w:proofErr w:type="spellStart"/>
            <w:r>
              <w:rPr>
                <w:rFonts w:cs="Arial"/>
                <w:color w:val="auto"/>
                <w:sz w:val="18"/>
                <w:szCs w:val="18"/>
              </w:rPr>
              <w:t>Avinor</w:t>
            </w:r>
            <w:proofErr w:type="spellEnd"/>
            <w:r>
              <w:rPr>
                <w:rFonts w:cs="Arial"/>
                <w:color w:val="auto"/>
                <w:sz w:val="18"/>
                <w:szCs w:val="18"/>
              </w:rPr>
              <w:t xml:space="preserve"> AS and </w:t>
            </w:r>
            <w:proofErr w:type="spellStart"/>
            <w:r>
              <w:rPr>
                <w:rFonts w:cs="Arial"/>
                <w:color w:val="auto"/>
                <w:sz w:val="18"/>
                <w:szCs w:val="18"/>
              </w:rPr>
              <w:t>Avinor</w:t>
            </w:r>
            <w:proofErr w:type="spellEnd"/>
            <w:r>
              <w:rPr>
                <w:rFonts w:cs="Arial"/>
                <w:color w:val="auto"/>
                <w:sz w:val="18"/>
                <w:szCs w:val="18"/>
              </w:rPr>
              <w:t xml:space="preserve"> ANS and the actual share of fixed assets </w:t>
            </w:r>
            <w:r w:rsidRPr="0050381D">
              <w:rPr>
                <w:rFonts w:cs="Arial"/>
                <w:color w:val="auto"/>
                <w:sz w:val="18"/>
                <w:szCs w:val="18"/>
              </w:rPr>
              <w:t xml:space="preserve">used for </w:t>
            </w:r>
            <w:r>
              <w:rPr>
                <w:rFonts w:cs="Arial"/>
                <w:color w:val="auto"/>
                <w:sz w:val="18"/>
                <w:szCs w:val="18"/>
              </w:rPr>
              <w:t>TNC</w:t>
            </w:r>
            <w:r w:rsidRPr="0050381D">
              <w:rPr>
                <w:rFonts w:cs="Arial"/>
                <w:color w:val="auto"/>
                <w:sz w:val="18"/>
                <w:szCs w:val="18"/>
              </w:rPr>
              <w:t xml:space="preserve"> services</w:t>
            </w:r>
            <w:r>
              <w:rPr>
                <w:rFonts w:cs="Arial"/>
                <w:color w:val="auto"/>
                <w:sz w:val="18"/>
                <w:szCs w:val="18"/>
              </w:rPr>
              <w:t xml:space="preserve">.  </w:t>
            </w:r>
          </w:p>
        </w:tc>
      </w:tr>
      <w:tr w:rsidR="004775FD" w:rsidRPr="00CA2B9B" w14:paraId="60B6DB7C" w14:textId="77777777" w:rsidTr="00735524">
        <w:tc>
          <w:tcPr>
            <w:tcW w:w="2376" w:type="dxa"/>
            <w:shd w:val="clear" w:color="auto" w:fill="auto"/>
          </w:tcPr>
          <w:p w14:paraId="64703C45" w14:textId="77777777" w:rsidR="004775FD" w:rsidRPr="009203C2" w:rsidRDefault="004775FD" w:rsidP="004775FD">
            <w:pPr>
              <w:pStyle w:val="Default"/>
              <w:rPr>
                <w:bCs/>
                <w:color w:val="auto"/>
                <w:sz w:val="18"/>
                <w:szCs w:val="18"/>
              </w:rPr>
            </w:pPr>
            <w:r w:rsidRPr="009203C2">
              <w:rPr>
                <w:bCs/>
                <w:color w:val="auto"/>
                <w:sz w:val="18"/>
                <w:szCs w:val="18"/>
              </w:rPr>
              <w:t>3.2</w:t>
            </w:r>
            <w:r>
              <w:rPr>
                <w:bCs/>
                <w:color w:val="auto"/>
                <w:sz w:val="18"/>
                <w:szCs w:val="18"/>
              </w:rPr>
              <w:t xml:space="preserve"> A</w:t>
            </w:r>
            <w:r w:rsidRPr="009203C2">
              <w:rPr>
                <w:bCs/>
                <w:color w:val="auto"/>
                <w:sz w:val="18"/>
                <w:szCs w:val="18"/>
              </w:rPr>
              <w:t>djustments total assets</w:t>
            </w:r>
          </w:p>
        </w:tc>
        <w:tc>
          <w:tcPr>
            <w:tcW w:w="6691" w:type="dxa"/>
            <w:gridSpan w:val="6"/>
            <w:shd w:val="clear" w:color="auto" w:fill="auto"/>
          </w:tcPr>
          <w:p w14:paraId="40C500A7" w14:textId="13FF8BAC" w:rsidR="004775FD" w:rsidRPr="00DA6212" w:rsidRDefault="004775FD" w:rsidP="004775FD">
            <w:pPr>
              <w:pStyle w:val="Default"/>
              <w:rPr>
                <w:bCs/>
                <w:iCs/>
                <w:color w:val="auto"/>
                <w:sz w:val="18"/>
                <w:szCs w:val="18"/>
                <w:lang w:val="en-US"/>
              </w:rPr>
            </w:pPr>
            <w:r w:rsidRPr="00DA6212">
              <w:rPr>
                <w:bCs/>
                <w:iCs/>
                <w:color w:val="auto"/>
                <w:sz w:val="18"/>
                <w:szCs w:val="18"/>
                <w:lang w:val="en-US"/>
              </w:rPr>
              <w:t>&lt; … &gt;</w:t>
            </w:r>
          </w:p>
        </w:tc>
      </w:tr>
      <w:tr w:rsidR="004775FD" w:rsidRPr="009D72C7" w14:paraId="5F52308D" w14:textId="77777777" w:rsidTr="00735524">
        <w:tc>
          <w:tcPr>
            <w:tcW w:w="2376" w:type="dxa"/>
            <w:shd w:val="clear" w:color="auto" w:fill="auto"/>
            <w:vAlign w:val="bottom"/>
          </w:tcPr>
          <w:p w14:paraId="620F1590" w14:textId="77777777" w:rsidR="004775FD" w:rsidRPr="009203C2" w:rsidRDefault="004775FD" w:rsidP="004775FD">
            <w:pPr>
              <w:spacing w:before="0" w:after="0"/>
              <w:jc w:val="left"/>
              <w:rPr>
                <w:rFonts w:ascii="Calibri" w:hAnsi="Calibri" w:cs="Calibri"/>
                <w:sz w:val="18"/>
                <w:szCs w:val="18"/>
                <w:lang w:val="fr-BE" w:eastAsia="fr-BE"/>
              </w:rPr>
            </w:pPr>
            <w:r w:rsidRPr="009203C2">
              <w:rPr>
                <w:rFonts w:ascii="Calibri" w:hAnsi="Calibri" w:cs="Calibri"/>
                <w:sz w:val="18"/>
                <w:szCs w:val="18"/>
                <w:lang w:val="fr-BE" w:eastAsia="fr-BE"/>
              </w:rPr>
              <w:t>3.3  Net current assets</w:t>
            </w:r>
          </w:p>
        </w:tc>
        <w:tc>
          <w:tcPr>
            <w:tcW w:w="6691" w:type="dxa"/>
            <w:gridSpan w:val="6"/>
            <w:shd w:val="clear" w:color="auto" w:fill="auto"/>
          </w:tcPr>
          <w:p w14:paraId="77BB1644" w14:textId="2D87C4FA" w:rsidR="004775FD" w:rsidRPr="00DA6212" w:rsidRDefault="004775FD" w:rsidP="004775FD">
            <w:pPr>
              <w:pStyle w:val="Default"/>
              <w:jc w:val="both"/>
              <w:rPr>
                <w:bCs/>
                <w:iCs/>
                <w:color w:val="auto"/>
                <w:sz w:val="18"/>
                <w:szCs w:val="18"/>
                <w:lang w:val="en-US"/>
              </w:rPr>
            </w:pPr>
            <w:r w:rsidRPr="00DA6212">
              <w:rPr>
                <w:bCs/>
                <w:iCs/>
                <w:color w:val="auto"/>
                <w:sz w:val="18"/>
                <w:szCs w:val="18"/>
                <w:lang w:val="en-US"/>
              </w:rPr>
              <w:t>&lt; … &gt;</w:t>
            </w:r>
          </w:p>
        </w:tc>
      </w:tr>
      <w:tr w:rsidR="004775FD" w:rsidRPr="006C2F02" w14:paraId="5B24A27E" w14:textId="77777777" w:rsidTr="00735524">
        <w:trPr>
          <w:trHeight w:val="210"/>
        </w:trPr>
        <w:tc>
          <w:tcPr>
            <w:tcW w:w="9067" w:type="dxa"/>
            <w:gridSpan w:val="7"/>
            <w:shd w:val="clear" w:color="auto" w:fill="auto"/>
          </w:tcPr>
          <w:p w14:paraId="6F1D892E" w14:textId="77777777" w:rsidR="004775FD" w:rsidRPr="006C459D" w:rsidRDefault="004775FD" w:rsidP="004775FD">
            <w:pPr>
              <w:spacing w:before="0" w:after="0"/>
              <w:jc w:val="left"/>
              <w:rPr>
                <w:rFonts w:ascii="Calibri" w:hAnsi="Calibri" w:cs="Calibri"/>
                <w:b/>
                <w:bCs/>
                <w:sz w:val="18"/>
                <w:szCs w:val="18"/>
              </w:rPr>
            </w:pPr>
            <w:r>
              <w:rPr>
                <w:rFonts w:ascii="Calibri" w:hAnsi="Calibri" w:cs="Calibri"/>
                <w:b/>
                <w:bCs/>
                <w:sz w:val="18"/>
                <w:szCs w:val="18"/>
              </w:rPr>
              <w:t>Cost of capital %</w:t>
            </w:r>
          </w:p>
        </w:tc>
      </w:tr>
      <w:tr w:rsidR="004775FD" w:rsidRPr="00470900" w14:paraId="7FFE5918" w14:textId="77777777" w:rsidTr="00735524">
        <w:tc>
          <w:tcPr>
            <w:tcW w:w="2376" w:type="dxa"/>
            <w:shd w:val="clear" w:color="auto" w:fill="auto"/>
            <w:vAlign w:val="center"/>
          </w:tcPr>
          <w:p w14:paraId="277AB47C" w14:textId="77777777" w:rsidR="004775FD" w:rsidRPr="00470900" w:rsidRDefault="004775FD" w:rsidP="004775FD">
            <w:pPr>
              <w:pStyle w:val="Default"/>
              <w:rPr>
                <w:bCs/>
                <w:color w:val="auto"/>
                <w:sz w:val="18"/>
                <w:szCs w:val="18"/>
              </w:rPr>
            </w:pPr>
            <w:r w:rsidRPr="00470900">
              <w:rPr>
                <w:bCs/>
                <w:color w:val="auto"/>
                <w:sz w:val="18"/>
                <w:szCs w:val="18"/>
              </w:rPr>
              <w:t>3.6 Return on equity</w:t>
            </w:r>
          </w:p>
        </w:tc>
        <w:tc>
          <w:tcPr>
            <w:tcW w:w="6691" w:type="dxa"/>
            <w:gridSpan w:val="6"/>
            <w:shd w:val="clear" w:color="auto" w:fill="auto"/>
          </w:tcPr>
          <w:p w14:paraId="296AC46D" w14:textId="3AEB2E2C" w:rsidR="004775FD" w:rsidRPr="00470900" w:rsidRDefault="004775FD" w:rsidP="004775FD">
            <w:pPr>
              <w:pStyle w:val="Default"/>
              <w:rPr>
                <w:bCs/>
                <w:color w:val="auto"/>
                <w:sz w:val="18"/>
                <w:szCs w:val="18"/>
              </w:rPr>
            </w:pPr>
            <w:r>
              <w:rPr>
                <w:bCs/>
                <w:color w:val="auto"/>
                <w:sz w:val="18"/>
                <w:szCs w:val="18"/>
              </w:rPr>
              <w:t xml:space="preserve">Return on equity before tax is set to </w:t>
            </w:r>
            <w:r w:rsidR="00A2062D">
              <w:rPr>
                <w:bCs/>
                <w:color w:val="auto"/>
                <w:sz w:val="18"/>
                <w:szCs w:val="18"/>
              </w:rPr>
              <w:t>10,20</w:t>
            </w:r>
            <w:r>
              <w:rPr>
                <w:bCs/>
                <w:color w:val="auto"/>
                <w:sz w:val="18"/>
                <w:szCs w:val="18"/>
              </w:rPr>
              <w:t>% b</w:t>
            </w:r>
            <w:proofErr w:type="spellStart"/>
            <w:r>
              <w:rPr>
                <w:bCs/>
                <w:iCs/>
                <w:color w:val="auto"/>
                <w:sz w:val="18"/>
                <w:szCs w:val="18"/>
                <w:lang w:val="en-US"/>
              </w:rPr>
              <w:t>ased</w:t>
            </w:r>
            <w:proofErr w:type="spellEnd"/>
            <w:r>
              <w:rPr>
                <w:bCs/>
                <w:iCs/>
                <w:color w:val="auto"/>
                <w:sz w:val="18"/>
                <w:szCs w:val="18"/>
                <w:lang w:val="en-US"/>
              </w:rPr>
              <w:t xml:space="preserve"> on an analysis performed by external financial consultants Oslo Economics</w:t>
            </w:r>
            <w:r w:rsidR="00943A2F">
              <w:rPr>
                <w:bCs/>
                <w:iCs/>
                <w:color w:val="auto"/>
                <w:sz w:val="18"/>
                <w:szCs w:val="18"/>
                <w:lang w:val="en-US"/>
              </w:rPr>
              <w:t>.</w:t>
            </w:r>
          </w:p>
        </w:tc>
      </w:tr>
      <w:tr w:rsidR="004775FD" w:rsidRPr="00470900" w14:paraId="020170CF" w14:textId="77777777" w:rsidTr="00735524">
        <w:tc>
          <w:tcPr>
            <w:tcW w:w="2376" w:type="dxa"/>
            <w:shd w:val="clear" w:color="auto" w:fill="auto"/>
            <w:vAlign w:val="center"/>
          </w:tcPr>
          <w:p w14:paraId="5BACE334" w14:textId="77777777" w:rsidR="004775FD" w:rsidRPr="00470900" w:rsidRDefault="004775FD" w:rsidP="004775FD">
            <w:pPr>
              <w:pStyle w:val="Default"/>
              <w:rPr>
                <w:bCs/>
                <w:color w:val="auto"/>
                <w:sz w:val="18"/>
                <w:szCs w:val="18"/>
              </w:rPr>
            </w:pPr>
            <w:r w:rsidRPr="00470900">
              <w:rPr>
                <w:bCs/>
                <w:color w:val="auto"/>
                <w:sz w:val="18"/>
                <w:szCs w:val="18"/>
              </w:rPr>
              <w:t>3.7 Average interest on debts</w:t>
            </w:r>
          </w:p>
        </w:tc>
        <w:tc>
          <w:tcPr>
            <w:tcW w:w="6691" w:type="dxa"/>
            <w:gridSpan w:val="6"/>
            <w:shd w:val="clear" w:color="auto" w:fill="auto"/>
          </w:tcPr>
          <w:p w14:paraId="12953AE7" w14:textId="1EB382A8" w:rsidR="004775FD" w:rsidRPr="00470900" w:rsidRDefault="004775FD" w:rsidP="004775FD">
            <w:pPr>
              <w:pStyle w:val="Default"/>
              <w:rPr>
                <w:bCs/>
                <w:color w:val="auto"/>
                <w:sz w:val="18"/>
                <w:szCs w:val="18"/>
              </w:rPr>
            </w:pPr>
            <w:r w:rsidRPr="00470900">
              <w:rPr>
                <w:bCs/>
                <w:color w:val="auto"/>
                <w:sz w:val="18"/>
                <w:szCs w:val="18"/>
              </w:rPr>
              <w:t>Average interest on debts</w:t>
            </w:r>
            <w:r>
              <w:rPr>
                <w:bCs/>
                <w:color w:val="auto"/>
                <w:sz w:val="18"/>
                <w:szCs w:val="18"/>
              </w:rPr>
              <w:t xml:space="preserve"> before tax is set to 2,9</w:t>
            </w:r>
            <w:r w:rsidR="00A2062D">
              <w:rPr>
                <w:bCs/>
                <w:color w:val="auto"/>
                <w:sz w:val="18"/>
                <w:szCs w:val="18"/>
              </w:rPr>
              <w:t>5</w:t>
            </w:r>
            <w:r>
              <w:rPr>
                <w:bCs/>
                <w:color w:val="auto"/>
                <w:sz w:val="18"/>
                <w:szCs w:val="18"/>
              </w:rPr>
              <w:t>% b</w:t>
            </w:r>
            <w:proofErr w:type="spellStart"/>
            <w:r>
              <w:rPr>
                <w:bCs/>
                <w:iCs/>
                <w:color w:val="auto"/>
                <w:sz w:val="18"/>
                <w:szCs w:val="18"/>
                <w:lang w:val="en-US"/>
              </w:rPr>
              <w:t>ased</w:t>
            </w:r>
            <w:proofErr w:type="spellEnd"/>
            <w:r>
              <w:rPr>
                <w:bCs/>
                <w:iCs/>
                <w:color w:val="auto"/>
                <w:sz w:val="18"/>
                <w:szCs w:val="18"/>
                <w:lang w:val="en-US"/>
              </w:rPr>
              <w:t xml:space="preserve"> on an analysis performed by Oslo Economics. </w:t>
            </w:r>
          </w:p>
        </w:tc>
      </w:tr>
      <w:tr w:rsidR="004775FD" w:rsidRPr="00470900" w14:paraId="6C763FDC" w14:textId="77777777" w:rsidTr="00735524">
        <w:tc>
          <w:tcPr>
            <w:tcW w:w="2376" w:type="dxa"/>
            <w:shd w:val="clear" w:color="auto" w:fill="auto"/>
            <w:vAlign w:val="center"/>
          </w:tcPr>
          <w:p w14:paraId="0C517438" w14:textId="77777777" w:rsidR="004775FD" w:rsidRPr="00470900" w:rsidRDefault="004775FD" w:rsidP="004775FD">
            <w:pPr>
              <w:pStyle w:val="Default"/>
              <w:rPr>
                <w:bCs/>
                <w:color w:val="auto"/>
                <w:sz w:val="18"/>
                <w:szCs w:val="18"/>
              </w:rPr>
            </w:pPr>
            <w:r w:rsidRPr="00470900">
              <w:rPr>
                <w:bCs/>
                <w:color w:val="auto"/>
                <w:sz w:val="18"/>
                <w:szCs w:val="18"/>
              </w:rPr>
              <w:t>3.8 Share of financing through equity</w:t>
            </w:r>
          </w:p>
        </w:tc>
        <w:tc>
          <w:tcPr>
            <w:tcW w:w="6691" w:type="dxa"/>
            <w:gridSpan w:val="6"/>
            <w:shd w:val="clear" w:color="auto" w:fill="auto"/>
          </w:tcPr>
          <w:p w14:paraId="2BE4329B" w14:textId="32D282DD" w:rsidR="004775FD" w:rsidRPr="00470900" w:rsidRDefault="004775FD" w:rsidP="004775FD">
            <w:pPr>
              <w:pStyle w:val="Default"/>
              <w:rPr>
                <w:bCs/>
                <w:color w:val="auto"/>
                <w:sz w:val="18"/>
                <w:szCs w:val="18"/>
              </w:rPr>
            </w:pPr>
            <w:r w:rsidRPr="00470900">
              <w:rPr>
                <w:bCs/>
                <w:color w:val="auto"/>
                <w:sz w:val="18"/>
                <w:szCs w:val="18"/>
              </w:rPr>
              <w:t>Share of financing through equity</w:t>
            </w:r>
            <w:r>
              <w:rPr>
                <w:bCs/>
                <w:color w:val="auto"/>
                <w:sz w:val="18"/>
                <w:szCs w:val="18"/>
              </w:rPr>
              <w:t xml:space="preserve"> is set to 40% in the</w:t>
            </w:r>
            <w:r>
              <w:rPr>
                <w:bCs/>
                <w:iCs/>
                <w:color w:val="auto"/>
                <w:sz w:val="18"/>
                <w:szCs w:val="18"/>
                <w:lang w:val="en-US"/>
              </w:rPr>
              <w:t xml:space="preserve"> analysis performed by Oslo Economics, </w:t>
            </w:r>
            <w:r w:rsidRPr="00272E86">
              <w:rPr>
                <w:bCs/>
                <w:iCs/>
                <w:color w:val="auto"/>
                <w:sz w:val="18"/>
                <w:szCs w:val="18"/>
                <w:lang w:val="en-US"/>
              </w:rPr>
              <w:t xml:space="preserve">which is </w:t>
            </w:r>
            <w:r>
              <w:rPr>
                <w:bCs/>
                <w:iCs/>
                <w:color w:val="auto"/>
                <w:sz w:val="18"/>
                <w:szCs w:val="18"/>
                <w:lang w:val="en-US"/>
              </w:rPr>
              <w:t>i</w:t>
            </w:r>
            <w:r w:rsidRPr="00272E86">
              <w:rPr>
                <w:bCs/>
                <w:iCs/>
                <w:color w:val="auto"/>
                <w:sz w:val="18"/>
                <w:szCs w:val="18"/>
                <w:lang w:val="en-US"/>
              </w:rPr>
              <w:t xml:space="preserve">n </w:t>
            </w:r>
            <w:r>
              <w:rPr>
                <w:bCs/>
                <w:iCs/>
                <w:color w:val="auto"/>
                <w:sz w:val="18"/>
                <w:szCs w:val="18"/>
                <w:lang w:val="en-US"/>
              </w:rPr>
              <w:t>accordance</w:t>
            </w:r>
            <w:r w:rsidRPr="00272E86">
              <w:rPr>
                <w:bCs/>
                <w:iCs/>
                <w:color w:val="auto"/>
                <w:sz w:val="18"/>
                <w:szCs w:val="18"/>
                <w:lang w:val="en-US"/>
              </w:rPr>
              <w:t xml:space="preserve"> </w:t>
            </w:r>
            <w:r w:rsidR="00684AAF">
              <w:rPr>
                <w:bCs/>
                <w:iCs/>
                <w:color w:val="auto"/>
                <w:sz w:val="18"/>
                <w:szCs w:val="18"/>
                <w:lang w:val="en-US"/>
              </w:rPr>
              <w:t>with</w:t>
            </w:r>
            <w:r w:rsidRPr="00272E86">
              <w:rPr>
                <w:bCs/>
                <w:iCs/>
                <w:color w:val="auto"/>
                <w:sz w:val="18"/>
                <w:szCs w:val="18"/>
                <w:lang w:val="en-US"/>
              </w:rPr>
              <w:t xml:space="preserve"> the articles of association for </w:t>
            </w:r>
            <w:proofErr w:type="spellStart"/>
            <w:r w:rsidRPr="00272E86">
              <w:rPr>
                <w:bCs/>
                <w:iCs/>
                <w:color w:val="auto"/>
                <w:sz w:val="18"/>
                <w:szCs w:val="18"/>
                <w:lang w:val="en-US"/>
              </w:rPr>
              <w:t>Avinor</w:t>
            </w:r>
            <w:proofErr w:type="spellEnd"/>
            <w:r w:rsidRPr="00272E86">
              <w:rPr>
                <w:bCs/>
                <w:iCs/>
                <w:color w:val="auto"/>
                <w:sz w:val="18"/>
                <w:szCs w:val="18"/>
                <w:lang w:val="en-US"/>
              </w:rPr>
              <w:t xml:space="preserve"> AS issued by the Ministry of Transport,</w:t>
            </w:r>
            <w:r w:rsidR="00684AAF">
              <w:rPr>
                <w:bCs/>
                <w:iCs/>
                <w:color w:val="auto"/>
                <w:sz w:val="18"/>
                <w:szCs w:val="18"/>
                <w:lang w:val="en-US"/>
              </w:rPr>
              <w:t xml:space="preserve"> stating</w:t>
            </w:r>
            <w:r w:rsidRPr="00272E86">
              <w:rPr>
                <w:bCs/>
                <w:iCs/>
                <w:color w:val="auto"/>
                <w:sz w:val="18"/>
                <w:szCs w:val="18"/>
                <w:lang w:val="en-US"/>
              </w:rPr>
              <w:t xml:space="preserve"> </w:t>
            </w:r>
            <w:r>
              <w:rPr>
                <w:bCs/>
                <w:iCs/>
                <w:color w:val="auto"/>
                <w:sz w:val="18"/>
                <w:szCs w:val="18"/>
                <w:lang w:val="en-US"/>
              </w:rPr>
              <w:t xml:space="preserve">that </w:t>
            </w:r>
            <w:r w:rsidRPr="00272E86">
              <w:rPr>
                <w:bCs/>
                <w:iCs/>
                <w:color w:val="auto"/>
                <w:sz w:val="18"/>
                <w:szCs w:val="18"/>
                <w:lang w:val="en-US"/>
              </w:rPr>
              <w:t xml:space="preserve">the group's equity may not be less than 40% of the group's interest-bearing long-term loans and equity at any given time. </w:t>
            </w:r>
          </w:p>
        </w:tc>
      </w:tr>
      <w:tr w:rsidR="00735524" w:rsidRPr="00735524" w14:paraId="29B8709C" w14:textId="77777777" w:rsidTr="00735524">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4D7E4DB" w14:textId="77777777" w:rsidR="00735524" w:rsidRPr="00735524" w:rsidRDefault="00735524" w:rsidP="00735524">
            <w:pPr>
              <w:ind w:left="-253" w:firstLine="253"/>
              <w:rPr>
                <w:rFonts w:ascii="Calibri" w:hAnsi="Calibri" w:cs="Arial"/>
                <w:b/>
                <w:bCs/>
                <w:sz w:val="20"/>
                <w:szCs w:val="22"/>
                <w:lang w:eastAsia="en-GB"/>
              </w:rPr>
            </w:pPr>
            <w:r w:rsidRPr="00735524">
              <w:rPr>
                <w:rFonts w:ascii="Calibri" w:hAnsi="Calibri" w:cs="Arial"/>
                <w:b/>
                <w:bCs/>
                <w:sz w:val="20"/>
                <w:szCs w:val="22"/>
                <w:lang w:eastAsia="en-GB"/>
              </w:rPr>
              <w:t xml:space="preserve">ANSP/Entity: </w:t>
            </w:r>
            <w:proofErr w:type="spellStart"/>
            <w:r w:rsidRPr="00735524">
              <w:rPr>
                <w:rFonts w:ascii="Calibri" w:hAnsi="Calibri" w:cs="Arial"/>
                <w:b/>
                <w:bCs/>
                <w:sz w:val="20"/>
                <w:szCs w:val="22"/>
                <w:lang w:eastAsia="en-GB"/>
              </w:rPr>
              <w:t>Avinor</w:t>
            </w:r>
            <w:proofErr w:type="spellEnd"/>
            <w:r w:rsidRPr="00735524">
              <w:rPr>
                <w:rFonts w:ascii="Calibri" w:hAnsi="Calibri" w:cs="Arial"/>
                <w:b/>
                <w:bCs/>
                <w:sz w:val="20"/>
                <w:szCs w:val="22"/>
                <w:lang w:eastAsia="en-GB"/>
              </w:rPr>
              <w:t xml:space="preserve"> AS</w:t>
            </w:r>
          </w:p>
        </w:tc>
        <w:tc>
          <w:tcPr>
            <w:tcW w:w="6691" w:type="dxa"/>
            <w:gridSpan w:val="6"/>
            <w:tcBorders>
              <w:top w:val="single" w:sz="4" w:space="0" w:color="auto"/>
              <w:left w:val="single" w:sz="4" w:space="0" w:color="auto"/>
              <w:bottom w:val="single" w:sz="4" w:space="0" w:color="auto"/>
              <w:right w:val="single" w:sz="4" w:space="0" w:color="auto"/>
            </w:tcBorders>
            <w:shd w:val="clear" w:color="auto" w:fill="auto"/>
          </w:tcPr>
          <w:p w14:paraId="09735CB6" w14:textId="77777777" w:rsidR="00735524" w:rsidRPr="00735524" w:rsidRDefault="00735524" w:rsidP="00735524">
            <w:pPr>
              <w:ind w:left="-253" w:firstLine="253"/>
              <w:rPr>
                <w:rFonts w:ascii="Calibri" w:hAnsi="Calibri" w:cs="Arial"/>
                <w:b/>
                <w:bCs/>
                <w:sz w:val="20"/>
                <w:szCs w:val="22"/>
                <w:lang w:eastAsia="en-GB"/>
              </w:rPr>
            </w:pPr>
            <w:r w:rsidRPr="00735524">
              <w:rPr>
                <w:rFonts w:ascii="Calibri" w:hAnsi="Calibri" w:cs="Arial"/>
                <w:b/>
                <w:bCs/>
                <w:sz w:val="20"/>
                <w:szCs w:val="22"/>
                <w:lang w:eastAsia="en-GB"/>
              </w:rPr>
              <w:t>RP3</w:t>
            </w:r>
          </w:p>
        </w:tc>
      </w:tr>
      <w:tr w:rsidR="00735524" w14:paraId="47FA6A39" w14:textId="77777777" w:rsidTr="00735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7"/>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C4D6E2" w14:textId="77777777" w:rsidR="00735524" w:rsidRDefault="00735524" w:rsidP="001356B8">
            <w:pPr>
              <w:jc w:val="left"/>
              <w:rPr>
                <w:rFonts w:ascii="Calibri" w:hAnsi="Calibri" w:cs="Arial"/>
                <w:b/>
                <w:bCs/>
                <w:sz w:val="22"/>
                <w:szCs w:val="22"/>
                <w:lang w:eastAsia="en-GB"/>
              </w:rPr>
            </w:pPr>
            <w:r w:rsidRPr="00042833">
              <w:rPr>
                <w:rFonts w:ascii="Calibri" w:hAnsi="Calibri" w:cs="Arial"/>
                <w:b/>
                <w:bCs/>
                <w:sz w:val="20"/>
                <w:szCs w:val="22"/>
                <w:lang w:eastAsia="en-GB"/>
              </w:rPr>
              <w:t xml:space="preserve">Cost of Capital (WACC)  </w:t>
            </w:r>
            <w:r w:rsidRPr="00042833">
              <w:rPr>
                <w:rFonts w:ascii="Calibri" w:hAnsi="Calibri" w:cs="Arial"/>
                <w:b/>
                <w:bCs/>
                <w:sz w:val="20"/>
                <w:szCs w:val="22"/>
                <w:lang w:eastAsia="en-GB"/>
              </w:rPr>
              <w:br/>
              <w:t>in nominal terms</w:t>
            </w:r>
          </w:p>
        </w:tc>
        <w:tc>
          <w:tcPr>
            <w:tcW w:w="996" w:type="dxa"/>
            <w:tcBorders>
              <w:top w:val="single" w:sz="4" w:space="0" w:color="auto"/>
              <w:left w:val="nil"/>
              <w:bottom w:val="single" w:sz="4" w:space="0" w:color="auto"/>
              <w:right w:val="single" w:sz="4" w:space="0" w:color="auto"/>
            </w:tcBorders>
            <w:shd w:val="clear" w:color="auto" w:fill="FFFFFF"/>
            <w:noWrap/>
            <w:vAlign w:val="center"/>
            <w:hideMark/>
          </w:tcPr>
          <w:p w14:paraId="51745725" w14:textId="77777777" w:rsidR="00735524" w:rsidRDefault="00735524" w:rsidP="001356B8">
            <w:pPr>
              <w:rPr>
                <w:rFonts w:ascii="Calibri" w:hAnsi="Calibri" w:cs="Arial"/>
                <w:b/>
                <w:bCs/>
                <w:sz w:val="22"/>
                <w:szCs w:val="22"/>
                <w:lang w:eastAsia="en-GB"/>
              </w:rPr>
            </w:pPr>
            <w:r>
              <w:rPr>
                <w:rFonts w:ascii="Calibri" w:hAnsi="Calibri" w:cs="Arial"/>
                <w:b/>
                <w:bCs/>
                <w:sz w:val="20"/>
                <w:szCs w:val="22"/>
                <w:lang w:eastAsia="en-GB"/>
              </w:rPr>
              <w:t>2020</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14:paraId="7740055F" w14:textId="77777777" w:rsidR="00735524" w:rsidRDefault="00735524" w:rsidP="001356B8">
            <w:pPr>
              <w:rPr>
                <w:rFonts w:ascii="Calibri" w:hAnsi="Calibri" w:cs="Arial"/>
                <w:b/>
                <w:bCs/>
                <w:sz w:val="22"/>
                <w:szCs w:val="22"/>
                <w:lang w:eastAsia="en-GB"/>
              </w:rPr>
            </w:pPr>
            <w:r>
              <w:rPr>
                <w:rFonts w:ascii="Calibri" w:hAnsi="Calibri" w:cs="Arial"/>
                <w:b/>
                <w:bCs/>
                <w:sz w:val="20"/>
                <w:szCs w:val="22"/>
                <w:lang w:eastAsia="en-GB"/>
              </w:rPr>
              <w:t>2021</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14:paraId="6E1B1308" w14:textId="77777777" w:rsidR="00735524" w:rsidRDefault="00735524" w:rsidP="001356B8">
            <w:pPr>
              <w:rPr>
                <w:rFonts w:ascii="Calibri" w:hAnsi="Calibri" w:cs="Arial"/>
                <w:b/>
                <w:bCs/>
                <w:sz w:val="22"/>
                <w:szCs w:val="22"/>
                <w:lang w:eastAsia="en-GB"/>
              </w:rPr>
            </w:pPr>
            <w:r>
              <w:rPr>
                <w:rFonts w:ascii="Calibri" w:hAnsi="Calibri" w:cs="Arial"/>
                <w:b/>
                <w:bCs/>
                <w:sz w:val="20"/>
                <w:szCs w:val="22"/>
                <w:lang w:eastAsia="en-GB"/>
              </w:rPr>
              <w:t>2022</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14:paraId="1FB60E1F" w14:textId="77777777" w:rsidR="00735524" w:rsidRDefault="00735524" w:rsidP="001356B8">
            <w:pPr>
              <w:rPr>
                <w:rFonts w:ascii="Calibri" w:hAnsi="Calibri" w:cs="Arial"/>
                <w:b/>
                <w:bCs/>
                <w:sz w:val="22"/>
                <w:szCs w:val="22"/>
                <w:lang w:eastAsia="en-GB"/>
              </w:rPr>
            </w:pPr>
            <w:r>
              <w:rPr>
                <w:rFonts w:ascii="Calibri" w:hAnsi="Calibri" w:cs="Arial"/>
                <w:b/>
                <w:bCs/>
                <w:sz w:val="20"/>
                <w:szCs w:val="22"/>
                <w:lang w:eastAsia="en-GB"/>
              </w:rPr>
              <w:t>2023</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14:paraId="26488A9D" w14:textId="77777777" w:rsidR="00735524" w:rsidRDefault="00735524" w:rsidP="001356B8">
            <w:pPr>
              <w:rPr>
                <w:rFonts w:ascii="Calibri" w:hAnsi="Calibri" w:cs="Arial"/>
                <w:b/>
                <w:bCs/>
                <w:sz w:val="20"/>
                <w:szCs w:val="22"/>
                <w:lang w:eastAsia="en-GB"/>
              </w:rPr>
            </w:pPr>
            <w:r>
              <w:rPr>
                <w:rFonts w:ascii="Calibri" w:hAnsi="Calibri" w:cs="Arial"/>
                <w:b/>
                <w:bCs/>
                <w:sz w:val="20"/>
                <w:szCs w:val="22"/>
                <w:lang w:eastAsia="en-GB"/>
              </w:rPr>
              <w:t>2024</w:t>
            </w:r>
          </w:p>
        </w:tc>
      </w:tr>
      <w:tr w:rsidR="00735524" w14:paraId="68BDADF3" w14:textId="77777777" w:rsidTr="00735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C9E798" w14:textId="77777777" w:rsidR="00735524" w:rsidRDefault="00735524" w:rsidP="001356B8">
            <w:pPr>
              <w:jc w:val="left"/>
              <w:rPr>
                <w:rFonts w:ascii="Calibri" w:hAnsi="Calibri" w:cs="Arial"/>
                <w:b/>
                <w:sz w:val="22"/>
                <w:szCs w:val="22"/>
                <w:lang w:eastAsia="en-GB"/>
              </w:rPr>
            </w:pPr>
            <w:r>
              <w:rPr>
                <w:rFonts w:ascii="Calibri" w:hAnsi="Calibri" w:cs="Arial"/>
                <w:b/>
                <w:sz w:val="20"/>
                <w:szCs w:val="22"/>
                <w:lang w:eastAsia="en-GB"/>
              </w:rPr>
              <w:t>Capital structure (% debt)</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C698B9" w14:textId="77777777" w:rsidR="00735524" w:rsidRDefault="00735524" w:rsidP="001356B8">
            <w:pPr>
              <w:rPr>
                <w:rFonts w:ascii="Calibri" w:hAnsi="Calibri" w:cs="Arial"/>
                <w:sz w:val="20"/>
                <w:szCs w:val="22"/>
                <w:lang w:eastAsia="en-GB"/>
              </w:rPr>
            </w:pPr>
            <w:r>
              <w:rPr>
                <w:sz w:val="20"/>
                <w:szCs w:val="20"/>
                <w:lang w:eastAsia="en-GB"/>
              </w:rPr>
              <w:t>60%</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DDB745" w14:textId="77777777" w:rsidR="00735524" w:rsidRDefault="00735524" w:rsidP="001356B8">
            <w:pPr>
              <w:rPr>
                <w:rFonts w:ascii="Calibri" w:hAnsi="Calibri" w:cs="Arial"/>
                <w:sz w:val="20"/>
                <w:szCs w:val="22"/>
                <w:lang w:eastAsia="en-GB"/>
              </w:rPr>
            </w:pPr>
            <w:r>
              <w:rPr>
                <w:sz w:val="20"/>
                <w:szCs w:val="20"/>
                <w:lang w:eastAsia="en-GB"/>
              </w:rPr>
              <w:t>60%</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CC7F2C" w14:textId="77777777" w:rsidR="00735524" w:rsidRDefault="00735524" w:rsidP="001356B8">
            <w:pPr>
              <w:rPr>
                <w:rFonts w:ascii="Calibri" w:hAnsi="Calibri" w:cs="Arial"/>
                <w:sz w:val="20"/>
                <w:szCs w:val="22"/>
                <w:lang w:eastAsia="en-GB"/>
              </w:rPr>
            </w:pPr>
            <w:r>
              <w:rPr>
                <w:rFonts w:ascii="Calibri" w:hAnsi="Calibri" w:cs="Arial"/>
                <w:sz w:val="20"/>
                <w:szCs w:val="22"/>
                <w:lang w:eastAsia="en-GB"/>
              </w:rPr>
              <w:t>60%</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37A229" w14:textId="77777777" w:rsidR="00735524" w:rsidRDefault="00735524" w:rsidP="001356B8">
            <w:pPr>
              <w:rPr>
                <w:rFonts w:ascii="Calibri" w:hAnsi="Calibri" w:cs="Arial"/>
                <w:sz w:val="20"/>
                <w:szCs w:val="22"/>
                <w:lang w:eastAsia="en-GB"/>
              </w:rPr>
            </w:pPr>
            <w:r>
              <w:rPr>
                <w:rFonts w:ascii="Calibri" w:hAnsi="Calibri" w:cs="Arial"/>
                <w:sz w:val="20"/>
                <w:szCs w:val="22"/>
                <w:lang w:eastAsia="en-GB"/>
              </w:rPr>
              <w:t>60%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54DD62" w14:textId="77777777" w:rsidR="00735524" w:rsidRDefault="00735524" w:rsidP="001356B8">
            <w:pPr>
              <w:rPr>
                <w:rFonts w:ascii="Calibri" w:hAnsi="Calibri" w:cs="Arial"/>
                <w:sz w:val="20"/>
                <w:szCs w:val="22"/>
                <w:lang w:eastAsia="en-GB"/>
              </w:rPr>
            </w:pPr>
            <w:r>
              <w:rPr>
                <w:rFonts w:ascii="Calibri" w:hAnsi="Calibri" w:cs="Arial"/>
                <w:sz w:val="20"/>
                <w:szCs w:val="22"/>
                <w:lang w:eastAsia="en-GB"/>
              </w:rPr>
              <w:t>60%</w:t>
            </w:r>
          </w:p>
        </w:tc>
      </w:tr>
      <w:tr w:rsidR="00735524" w14:paraId="0C215A21" w14:textId="77777777" w:rsidTr="00735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C729B4" w14:textId="77777777" w:rsidR="00735524" w:rsidRDefault="00735524" w:rsidP="001356B8">
            <w:pPr>
              <w:jc w:val="left"/>
              <w:rPr>
                <w:rFonts w:ascii="Calibri" w:hAnsi="Calibri" w:cs="Arial"/>
                <w:b/>
                <w:bCs/>
                <w:sz w:val="22"/>
                <w:szCs w:val="22"/>
                <w:lang w:eastAsia="en-GB"/>
              </w:rPr>
            </w:pPr>
            <w:r>
              <w:rPr>
                <w:rFonts w:ascii="Calibri" w:hAnsi="Calibri" w:cs="Arial"/>
                <w:b/>
                <w:bCs/>
                <w:sz w:val="20"/>
                <w:szCs w:val="22"/>
                <w:lang w:eastAsia="en-GB"/>
              </w:rPr>
              <w:t>Return on Equity % (</w:t>
            </w:r>
            <w:proofErr w:type="spellStart"/>
            <w:r>
              <w:rPr>
                <w:rFonts w:ascii="Calibri" w:hAnsi="Calibri" w:cs="Arial"/>
                <w:b/>
                <w:bCs/>
                <w:sz w:val="20"/>
                <w:szCs w:val="22"/>
                <w:lang w:eastAsia="en-GB"/>
              </w:rPr>
              <w:t>pre tax</w:t>
            </w:r>
            <w:proofErr w:type="spellEnd"/>
            <w:r>
              <w:rPr>
                <w:rFonts w:ascii="Calibri" w:hAnsi="Calibri" w:cs="Arial"/>
                <w:b/>
                <w:bCs/>
                <w:sz w:val="20"/>
                <w:szCs w:val="22"/>
                <w:lang w:eastAsia="en-GB"/>
              </w:rPr>
              <w:t>) - T1 3.</w:t>
            </w:r>
            <w:r>
              <w:rPr>
                <w:rFonts w:ascii="Calibri" w:hAnsi="Calibri" w:cs="Arial"/>
                <w:b/>
                <w:bCs/>
                <w:sz w:val="22"/>
                <w:szCs w:val="22"/>
                <w:lang w:eastAsia="en-GB"/>
              </w:rPr>
              <w:t>6</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97C3D8" w14:textId="53D5ED0C" w:rsidR="00735524" w:rsidRDefault="00A2062D" w:rsidP="001356B8">
            <w:pPr>
              <w:rPr>
                <w:rFonts w:ascii="Calibri" w:hAnsi="Calibri" w:cs="Arial"/>
                <w:b/>
                <w:bCs/>
                <w:sz w:val="20"/>
                <w:szCs w:val="22"/>
                <w:lang w:eastAsia="en-GB"/>
              </w:rPr>
            </w:pPr>
            <w:r>
              <w:rPr>
                <w:sz w:val="20"/>
                <w:szCs w:val="20"/>
                <w:lang w:eastAsia="en-GB"/>
              </w:rPr>
              <w:t>10,20</w:t>
            </w:r>
            <w:r w:rsidR="00735524">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27410D10" w14:textId="30DAC575" w:rsidR="00735524" w:rsidRDefault="00A2062D" w:rsidP="001356B8">
            <w:pPr>
              <w:rPr>
                <w:rFonts w:ascii="Calibri" w:hAnsi="Calibri" w:cs="Arial"/>
                <w:b/>
                <w:bCs/>
                <w:sz w:val="20"/>
                <w:szCs w:val="22"/>
                <w:lang w:eastAsia="en-GB"/>
              </w:rPr>
            </w:pPr>
            <w:r>
              <w:rPr>
                <w:sz w:val="20"/>
                <w:szCs w:val="20"/>
                <w:lang w:eastAsia="en-GB"/>
              </w:rPr>
              <w:t>10,20</w:t>
            </w:r>
            <w:r w:rsidR="00735524">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059EDF41" w14:textId="5B583EDD" w:rsidR="00735524" w:rsidRDefault="00A2062D" w:rsidP="001356B8">
            <w:pPr>
              <w:rPr>
                <w:rFonts w:ascii="Calibri" w:hAnsi="Calibri" w:cs="Arial"/>
                <w:b/>
                <w:bCs/>
                <w:sz w:val="20"/>
                <w:szCs w:val="22"/>
                <w:lang w:eastAsia="en-GB"/>
              </w:rPr>
            </w:pPr>
            <w:r>
              <w:rPr>
                <w:sz w:val="20"/>
                <w:szCs w:val="20"/>
                <w:lang w:eastAsia="en-GB"/>
              </w:rPr>
              <w:t>10,20</w:t>
            </w:r>
            <w:r w:rsidR="00735524">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3AE77C2F" w14:textId="7C85975A" w:rsidR="00735524" w:rsidRDefault="00A2062D" w:rsidP="001356B8">
            <w:pPr>
              <w:rPr>
                <w:rFonts w:ascii="Calibri" w:hAnsi="Calibri" w:cs="Arial"/>
                <w:b/>
                <w:bCs/>
                <w:sz w:val="20"/>
                <w:szCs w:val="22"/>
                <w:lang w:eastAsia="en-GB"/>
              </w:rPr>
            </w:pPr>
            <w:r>
              <w:rPr>
                <w:sz w:val="20"/>
                <w:szCs w:val="20"/>
                <w:lang w:eastAsia="en-GB"/>
              </w:rPr>
              <w:t>10,20</w:t>
            </w:r>
            <w:r w:rsidR="00735524">
              <w:rPr>
                <w:sz w:val="20"/>
                <w:szCs w:val="20"/>
                <w:lang w:eastAsia="en-GB"/>
              </w:rPr>
              <w:t>%</w:t>
            </w:r>
          </w:p>
        </w:tc>
        <w:tc>
          <w:tcPr>
            <w:tcW w:w="1060" w:type="dxa"/>
            <w:tcBorders>
              <w:top w:val="single" w:sz="4" w:space="0" w:color="auto"/>
              <w:left w:val="single" w:sz="4" w:space="0" w:color="auto"/>
              <w:bottom w:val="single" w:sz="4" w:space="0" w:color="auto"/>
              <w:right w:val="single" w:sz="4" w:space="0" w:color="auto"/>
            </w:tcBorders>
            <w:shd w:val="clear" w:color="auto" w:fill="FFFFFF"/>
            <w:noWrap/>
            <w:hideMark/>
          </w:tcPr>
          <w:p w14:paraId="5D93DA0F" w14:textId="693E864F" w:rsidR="00735524" w:rsidRDefault="00A2062D" w:rsidP="001356B8">
            <w:pPr>
              <w:rPr>
                <w:rFonts w:ascii="Calibri" w:hAnsi="Calibri" w:cs="Arial"/>
                <w:b/>
                <w:bCs/>
                <w:sz w:val="20"/>
                <w:szCs w:val="22"/>
                <w:lang w:eastAsia="en-GB"/>
              </w:rPr>
            </w:pPr>
            <w:r>
              <w:rPr>
                <w:sz w:val="20"/>
                <w:szCs w:val="20"/>
                <w:lang w:eastAsia="en-GB"/>
              </w:rPr>
              <w:t>10,20</w:t>
            </w:r>
            <w:r w:rsidR="00735524">
              <w:rPr>
                <w:sz w:val="20"/>
                <w:szCs w:val="20"/>
                <w:lang w:eastAsia="en-GB"/>
              </w:rPr>
              <w:t>%</w:t>
            </w:r>
          </w:p>
        </w:tc>
      </w:tr>
      <w:tr w:rsidR="00735524" w14:paraId="32A7C69F" w14:textId="77777777" w:rsidTr="00735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8B4DF2" w14:textId="77777777" w:rsidR="00735524" w:rsidRDefault="00735524" w:rsidP="001356B8">
            <w:pPr>
              <w:jc w:val="left"/>
              <w:rPr>
                <w:rFonts w:ascii="Calibri" w:hAnsi="Calibri" w:cs="Arial"/>
                <w:b/>
                <w:bCs/>
                <w:sz w:val="22"/>
                <w:szCs w:val="22"/>
                <w:lang w:eastAsia="en-GB"/>
              </w:rPr>
            </w:pPr>
            <w:r>
              <w:rPr>
                <w:rFonts w:ascii="Calibri" w:hAnsi="Calibri" w:cs="Arial"/>
                <w:b/>
                <w:bCs/>
                <w:sz w:val="20"/>
                <w:szCs w:val="22"/>
                <w:lang w:eastAsia="en-GB"/>
              </w:rPr>
              <w:t>Interest on debt % (</w:t>
            </w:r>
            <w:proofErr w:type="spellStart"/>
            <w:r>
              <w:rPr>
                <w:rFonts w:ascii="Calibri" w:hAnsi="Calibri" w:cs="Arial"/>
                <w:b/>
                <w:bCs/>
                <w:sz w:val="20"/>
                <w:szCs w:val="22"/>
                <w:lang w:eastAsia="en-GB"/>
              </w:rPr>
              <w:t>pre tax</w:t>
            </w:r>
            <w:proofErr w:type="spellEnd"/>
            <w:r>
              <w:rPr>
                <w:rFonts w:ascii="Calibri" w:hAnsi="Calibri" w:cs="Arial"/>
                <w:b/>
                <w:bCs/>
                <w:sz w:val="20"/>
                <w:szCs w:val="22"/>
                <w:lang w:eastAsia="en-GB"/>
              </w:rPr>
              <w:t>) - T1 3.7</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3A3253" w14:textId="1024076B" w:rsidR="00735524" w:rsidRDefault="00735524" w:rsidP="001356B8">
            <w:pPr>
              <w:rPr>
                <w:rFonts w:ascii="Calibri" w:hAnsi="Calibri" w:cs="Arial"/>
                <w:b/>
                <w:bCs/>
                <w:sz w:val="20"/>
                <w:szCs w:val="22"/>
                <w:lang w:eastAsia="en-GB"/>
              </w:rPr>
            </w:pPr>
            <w:r>
              <w:rPr>
                <w:sz w:val="20"/>
                <w:szCs w:val="20"/>
                <w:lang w:eastAsia="en-GB"/>
              </w:rPr>
              <w:t>2,9</w:t>
            </w:r>
            <w:r w:rsidR="00A2062D">
              <w:rPr>
                <w:sz w:val="20"/>
                <w:szCs w:val="20"/>
                <w:lang w:eastAsia="en-GB"/>
              </w:rPr>
              <w:t>5</w:t>
            </w:r>
            <w:r>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A98C45" w14:textId="513D58E1" w:rsidR="00735524" w:rsidRDefault="00735524" w:rsidP="001356B8">
            <w:pPr>
              <w:rPr>
                <w:rFonts w:ascii="Calibri" w:hAnsi="Calibri" w:cs="Arial"/>
                <w:b/>
                <w:bCs/>
                <w:sz w:val="20"/>
                <w:szCs w:val="22"/>
                <w:lang w:eastAsia="en-GB"/>
              </w:rPr>
            </w:pPr>
            <w:r>
              <w:rPr>
                <w:sz w:val="20"/>
                <w:szCs w:val="20"/>
                <w:lang w:eastAsia="en-GB"/>
              </w:rPr>
              <w:t>2,9</w:t>
            </w:r>
            <w:r w:rsidR="00A2062D">
              <w:rPr>
                <w:sz w:val="20"/>
                <w:szCs w:val="20"/>
                <w:lang w:eastAsia="en-GB"/>
              </w:rPr>
              <w:t>5</w:t>
            </w:r>
            <w:r>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76FF0C" w14:textId="398794BE" w:rsidR="00735524" w:rsidRDefault="00735524" w:rsidP="001356B8">
            <w:pPr>
              <w:rPr>
                <w:rFonts w:ascii="Calibri" w:hAnsi="Calibri" w:cs="Arial"/>
                <w:b/>
                <w:bCs/>
                <w:sz w:val="20"/>
                <w:szCs w:val="22"/>
                <w:lang w:eastAsia="en-GB"/>
              </w:rPr>
            </w:pPr>
            <w:r>
              <w:rPr>
                <w:sz w:val="20"/>
                <w:szCs w:val="20"/>
                <w:lang w:eastAsia="en-GB"/>
              </w:rPr>
              <w:t>2,9</w:t>
            </w:r>
            <w:r w:rsidR="00A2062D">
              <w:rPr>
                <w:sz w:val="20"/>
                <w:szCs w:val="20"/>
                <w:lang w:eastAsia="en-GB"/>
              </w:rPr>
              <w:t>5</w:t>
            </w:r>
            <w:r>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6F2329E0" w14:textId="2162112C" w:rsidR="00735524" w:rsidRDefault="00735524" w:rsidP="001356B8">
            <w:pPr>
              <w:rPr>
                <w:rFonts w:ascii="Calibri" w:hAnsi="Calibri" w:cs="Arial"/>
                <w:b/>
                <w:bCs/>
                <w:sz w:val="20"/>
                <w:szCs w:val="22"/>
                <w:lang w:eastAsia="en-GB"/>
              </w:rPr>
            </w:pPr>
            <w:r>
              <w:rPr>
                <w:sz w:val="20"/>
                <w:szCs w:val="20"/>
                <w:lang w:eastAsia="en-GB"/>
              </w:rPr>
              <w:t>2,9</w:t>
            </w:r>
            <w:r w:rsidR="00A2062D">
              <w:rPr>
                <w:sz w:val="20"/>
                <w:szCs w:val="20"/>
                <w:lang w:eastAsia="en-GB"/>
              </w:rPr>
              <w:t>5</w:t>
            </w:r>
            <w:r>
              <w:rPr>
                <w:sz w:val="20"/>
                <w:szCs w:val="20"/>
                <w:lang w:eastAsia="en-GB"/>
              </w:rPr>
              <w:t>%</w:t>
            </w:r>
          </w:p>
        </w:tc>
        <w:tc>
          <w:tcPr>
            <w:tcW w:w="1060" w:type="dxa"/>
            <w:tcBorders>
              <w:top w:val="single" w:sz="4" w:space="0" w:color="auto"/>
              <w:left w:val="single" w:sz="4" w:space="0" w:color="auto"/>
              <w:bottom w:val="single" w:sz="4" w:space="0" w:color="auto"/>
              <w:right w:val="single" w:sz="4" w:space="0" w:color="auto"/>
            </w:tcBorders>
            <w:shd w:val="clear" w:color="auto" w:fill="FFFFFF"/>
            <w:noWrap/>
            <w:hideMark/>
          </w:tcPr>
          <w:p w14:paraId="330A7142" w14:textId="4A3977C9" w:rsidR="00735524" w:rsidRDefault="00735524" w:rsidP="001356B8">
            <w:pPr>
              <w:rPr>
                <w:rFonts w:ascii="Calibri" w:hAnsi="Calibri" w:cs="Arial"/>
                <w:b/>
                <w:bCs/>
                <w:color w:val="0070C0"/>
                <w:sz w:val="20"/>
                <w:szCs w:val="22"/>
                <w:highlight w:val="yellow"/>
                <w:lang w:eastAsia="en-GB"/>
              </w:rPr>
            </w:pPr>
            <w:r>
              <w:rPr>
                <w:sz w:val="20"/>
                <w:szCs w:val="20"/>
                <w:lang w:eastAsia="en-GB"/>
              </w:rPr>
              <w:t>2,9</w:t>
            </w:r>
            <w:r w:rsidR="00A2062D">
              <w:rPr>
                <w:sz w:val="20"/>
                <w:szCs w:val="20"/>
                <w:lang w:eastAsia="en-GB"/>
              </w:rPr>
              <w:t>5</w:t>
            </w:r>
            <w:r>
              <w:rPr>
                <w:sz w:val="20"/>
                <w:szCs w:val="20"/>
                <w:lang w:eastAsia="en-GB"/>
              </w:rPr>
              <w:t>%</w:t>
            </w:r>
          </w:p>
        </w:tc>
      </w:tr>
      <w:tr w:rsidR="00735524" w14:paraId="3F5C7BDB" w14:textId="77777777" w:rsidTr="00735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7B8CD6" w14:textId="77777777" w:rsidR="00735524" w:rsidRDefault="00735524" w:rsidP="001356B8">
            <w:pPr>
              <w:jc w:val="left"/>
              <w:rPr>
                <w:rFonts w:ascii="Calibri" w:hAnsi="Calibri" w:cs="Arial"/>
                <w:b/>
                <w:bCs/>
                <w:sz w:val="22"/>
                <w:szCs w:val="22"/>
                <w:lang w:eastAsia="en-GB"/>
              </w:rPr>
            </w:pPr>
            <w:r>
              <w:rPr>
                <w:rFonts w:ascii="Calibri" w:hAnsi="Calibri" w:cs="Arial"/>
                <w:b/>
                <w:bCs/>
                <w:sz w:val="20"/>
                <w:szCs w:val="22"/>
                <w:lang w:eastAsia="en-GB"/>
              </w:rPr>
              <w:t>WACC % (</w:t>
            </w:r>
            <w:proofErr w:type="spellStart"/>
            <w:r>
              <w:rPr>
                <w:rFonts w:ascii="Calibri" w:hAnsi="Calibri" w:cs="Arial"/>
                <w:b/>
                <w:bCs/>
                <w:sz w:val="20"/>
                <w:szCs w:val="22"/>
                <w:lang w:eastAsia="en-GB"/>
              </w:rPr>
              <w:t>pre tax</w:t>
            </w:r>
            <w:proofErr w:type="spellEnd"/>
            <w:r>
              <w:rPr>
                <w:rFonts w:ascii="Calibri" w:hAnsi="Calibri" w:cs="Arial"/>
                <w:b/>
                <w:bCs/>
                <w:sz w:val="20"/>
                <w:szCs w:val="22"/>
                <w:lang w:eastAsia="en-GB"/>
              </w:rPr>
              <w:t>) - T1 3.5</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D6EE18" w14:textId="77777777" w:rsidR="00735524" w:rsidRDefault="00735524" w:rsidP="001356B8">
            <w:pPr>
              <w:rPr>
                <w:rFonts w:ascii="Calibri" w:hAnsi="Calibri" w:cs="Arial"/>
                <w:b/>
                <w:bCs/>
                <w:sz w:val="20"/>
                <w:szCs w:val="22"/>
                <w:lang w:eastAsia="en-GB"/>
              </w:rPr>
            </w:pPr>
            <w:r>
              <w:rPr>
                <w:sz w:val="20"/>
                <w:szCs w:val="20"/>
                <w:lang w:eastAsia="en-GB"/>
              </w:rPr>
              <w:t>5,85%</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2778EE54" w14:textId="77777777" w:rsidR="00735524" w:rsidRDefault="00735524" w:rsidP="001356B8">
            <w:pPr>
              <w:rPr>
                <w:rFonts w:ascii="Calibri" w:hAnsi="Calibri" w:cs="Arial"/>
                <w:b/>
                <w:bCs/>
                <w:sz w:val="20"/>
                <w:szCs w:val="22"/>
                <w:lang w:eastAsia="en-GB"/>
              </w:rPr>
            </w:pPr>
            <w:r w:rsidRPr="005317BF">
              <w:rPr>
                <w:sz w:val="20"/>
                <w:szCs w:val="20"/>
                <w:lang w:eastAsia="en-GB"/>
              </w:rPr>
              <w:t>5,85%</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655BDDA9" w14:textId="77777777" w:rsidR="00735524" w:rsidRDefault="00735524" w:rsidP="001356B8">
            <w:pPr>
              <w:rPr>
                <w:rFonts w:ascii="Calibri" w:hAnsi="Calibri" w:cs="Arial"/>
                <w:b/>
                <w:bCs/>
                <w:sz w:val="20"/>
                <w:szCs w:val="22"/>
                <w:lang w:eastAsia="en-GB"/>
              </w:rPr>
            </w:pPr>
            <w:r w:rsidRPr="005317BF">
              <w:rPr>
                <w:sz w:val="20"/>
                <w:szCs w:val="20"/>
                <w:lang w:eastAsia="en-GB"/>
              </w:rPr>
              <w:t>5,85%</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105391BC" w14:textId="77777777" w:rsidR="00735524" w:rsidRDefault="00735524" w:rsidP="001356B8">
            <w:pPr>
              <w:rPr>
                <w:rFonts w:ascii="Calibri" w:hAnsi="Calibri" w:cs="Arial"/>
                <w:b/>
                <w:bCs/>
                <w:sz w:val="20"/>
                <w:szCs w:val="22"/>
                <w:lang w:eastAsia="en-GB"/>
              </w:rPr>
            </w:pPr>
            <w:r w:rsidRPr="005317BF">
              <w:rPr>
                <w:sz w:val="20"/>
                <w:szCs w:val="20"/>
                <w:lang w:eastAsia="en-GB"/>
              </w:rPr>
              <w:t>5,85%</w:t>
            </w:r>
          </w:p>
        </w:tc>
        <w:tc>
          <w:tcPr>
            <w:tcW w:w="1060" w:type="dxa"/>
            <w:tcBorders>
              <w:top w:val="single" w:sz="4" w:space="0" w:color="auto"/>
              <w:left w:val="single" w:sz="4" w:space="0" w:color="auto"/>
              <w:bottom w:val="single" w:sz="4" w:space="0" w:color="auto"/>
              <w:right w:val="single" w:sz="4" w:space="0" w:color="auto"/>
            </w:tcBorders>
            <w:shd w:val="clear" w:color="auto" w:fill="FFFFFF"/>
            <w:noWrap/>
            <w:hideMark/>
          </w:tcPr>
          <w:p w14:paraId="710A9E01" w14:textId="77777777" w:rsidR="00735524" w:rsidRDefault="00735524" w:rsidP="001356B8">
            <w:pPr>
              <w:rPr>
                <w:rFonts w:ascii="Calibri" w:hAnsi="Calibri" w:cs="Arial"/>
                <w:b/>
                <w:bCs/>
                <w:sz w:val="20"/>
                <w:szCs w:val="22"/>
                <w:highlight w:val="yellow"/>
                <w:lang w:eastAsia="en-GB"/>
              </w:rPr>
            </w:pPr>
            <w:r w:rsidRPr="005317BF">
              <w:rPr>
                <w:sz w:val="20"/>
                <w:szCs w:val="20"/>
                <w:lang w:eastAsia="en-GB"/>
              </w:rPr>
              <w:t>5,85%</w:t>
            </w:r>
          </w:p>
        </w:tc>
      </w:tr>
    </w:tbl>
    <w:p w14:paraId="0F7CCA88" w14:textId="078053C5" w:rsidR="00735524" w:rsidRDefault="00735524" w:rsidP="00862C29">
      <w:pPr>
        <w:rPr>
          <w:iCs/>
          <w:lang w:val="en-US" w:eastAsia="de-DE"/>
        </w:rPr>
      </w:pPr>
    </w:p>
    <w:p w14:paraId="611A6B48" w14:textId="77777777" w:rsidR="00A2062D" w:rsidRDefault="00A2062D" w:rsidP="00862C29">
      <w:pPr>
        <w:rPr>
          <w:iCs/>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6CA5341" w14:textId="77777777" w:rsidTr="009E099D">
        <w:tc>
          <w:tcPr>
            <w:tcW w:w="9060" w:type="dxa"/>
            <w:shd w:val="clear" w:color="auto" w:fill="C6D9F1"/>
          </w:tcPr>
          <w:p w14:paraId="5F980A27" w14:textId="77777777" w:rsidR="00352E4E" w:rsidRPr="00CA5B88" w:rsidRDefault="00352E4E" w:rsidP="00352E4E">
            <w:pPr>
              <w:pStyle w:val="Default"/>
              <w:spacing w:before="60" w:after="60"/>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determined costs of common p</w:t>
            </w:r>
            <w:r>
              <w:rPr>
                <w:rFonts w:ascii="Arial" w:hAnsi="Arial" w:cs="Arial"/>
                <w:b/>
                <w:color w:val="17365D"/>
                <w:sz w:val="20"/>
                <w:szCs w:val="20"/>
              </w:rPr>
              <w:t>rojects (point 3.9 of Table 1).</w:t>
            </w:r>
          </w:p>
        </w:tc>
      </w:tr>
    </w:tbl>
    <w:p w14:paraId="7AE8E3B0" w14:textId="77777777" w:rsidR="009872E2" w:rsidRPr="00601109" w:rsidRDefault="009872E2" w:rsidP="00601109">
      <w:pPr>
        <w:pStyle w:val="Default"/>
        <w:jc w:val="both"/>
        <w:rPr>
          <w:rFonts w:ascii="Arial" w:hAnsi="Arial" w:cs="Arial"/>
          <w:color w:val="17365D"/>
          <w:sz w:val="20"/>
          <w:szCs w:val="20"/>
        </w:rPr>
      </w:pPr>
    </w:p>
    <w:p w14:paraId="47BFFC59" w14:textId="77777777" w:rsidR="00400AD3" w:rsidRDefault="00400AD3" w:rsidP="00400AD3">
      <w:pPr>
        <w:pStyle w:val="Default"/>
        <w:jc w:val="both"/>
        <w:rPr>
          <w:rFonts w:ascii="Arial" w:hAnsi="Arial" w:cs="Arial"/>
          <w:color w:val="17365D"/>
          <w:sz w:val="20"/>
          <w:szCs w:val="20"/>
        </w:rPr>
      </w:pPr>
      <w:r>
        <w:rPr>
          <w:rFonts w:ascii="Arial" w:hAnsi="Arial" w:cs="Arial"/>
          <w:color w:val="17365D"/>
          <w:sz w:val="20"/>
          <w:szCs w:val="20"/>
        </w:rPr>
        <w:t>Not applicable for Norway in RP3</w:t>
      </w:r>
    </w:p>
    <w:p w14:paraId="5DBB44B6" w14:textId="54D490D8" w:rsidR="00B35DF6" w:rsidRDefault="00B35DF6">
      <w:pPr>
        <w:spacing w:before="0" w:after="200" w:line="276" w:lineRule="auto"/>
        <w:jc w:val="left"/>
        <w:rPr>
          <w:i/>
          <w:lang w:eastAsia="de-DE"/>
        </w:rPr>
      </w:pPr>
      <w:r>
        <w:rPr>
          <w:i/>
          <w:lang w:eastAsia="de-D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EC40E2" w14:paraId="62A206B9" w14:textId="77777777" w:rsidTr="00225F7F">
        <w:trPr>
          <w:trHeight w:val="396"/>
          <w:jc w:val="center"/>
        </w:trPr>
        <w:tc>
          <w:tcPr>
            <w:tcW w:w="9242" w:type="dxa"/>
            <w:shd w:val="clear" w:color="auto" w:fill="C6D9F1"/>
            <w:vAlign w:val="center"/>
          </w:tcPr>
          <w:p w14:paraId="1182D13F" w14:textId="77777777" w:rsidR="00B4267E" w:rsidRPr="00EC40E2" w:rsidRDefault="00B4267E"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lastRenderedPageBreak/>
              <w:t>Actual costs and unit costs</w:t>
            </w:r>
          </w:p>
        </w:tc>
      </w:tr>
    </w:tbl>
    <w:p w14:paraId="7CE8C0D1" w14:textId="77777777" w:rsidR="00B4267E" w:rsidRDefault="00B4267E" w:rsidP="00B4267E">
      <w:pPr>
        <w:pStyle w:val="Default"/>
        <w:jc w:val="both"/>
        <w:rPr>
          <w:rFonts w:ascii="Arial" w:hAnsi="Arial" w:cs="Arial"/>
          <w:color w:val="17365D"/>
          <w:sz w:val="20"/>
          <w:szCs w:val="20"/>
        </w:rPr>
      </w:pPr>
    </w:p>
    <w:p w14:paraId="083A1B6C" w14:textId="77777777"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408C5019" w14:textId="77777777" w:rsidTr="00225F7F">
        <w:tc>
          <w:tcPr>
            <w:tcW w:w="9242" w:type="dxa"/>
            <w:shd w:val="clear" w:color="auto" w:fill="C6D9F1"/>
          </w:tcPr>
          <w:p w14:paraId="383ABDB3" w14:textId="77777777" w:rsidR="00B4267E" w:rsidRPr="00CA5B88" w:rsidRDefault="00B4267E" w:rsidP="00225F7F">
            <w:pPr>
              <w:pStyle w:val="Default"/>
              <w:spacing w:before="60" w:after="60"/>
              <w:rPr>
                <w:rFonts w:ascii="Arial" w:hAnsi="Arial" w:cs="Arial"/>
                <w:b/>
                <w:color w:val="17365D"/>
                <w:sz w:val="20"/>
                <w:szCs w:val="20"/>
              </w:rPr>
            </w:pPr>
            <w:r>
              <w:rPr>
                <w:rFonts w:ascii="Arial" w:hAnsi="Arial" w:cs="Arial"/>
                <w:b/>
                <w:color w:val="17365D"/>
                <w:sz w:val="20"/>
                <w:szCs w:val="20"/>
              </w:rPr>
              <w:t>a</w:t>
            </w:r>
            <w:r w:rsidRPr="00CA5B88">
              <w:rPr>
                <w:rFonts w:ascii="Arial" w:hAnsi="Arial" w:cs="Arial"/>
                <w:b/>
                <w:color w:val="17365D"/>
                <w:sz w:val="20"/>
                <w:szCs w:val="20"/>
              </w:rPr>
              <w:t>)</w:t>
            </w:r>
            <w:r>
              <w:rPr>
                <w:rFonts w:ascii="Arial" w:hAnsi="Arial" w:cs="Arial"/>
                <w:b/>
                <w:color w:val="17365D"/>
                <w:sz w:val="20"/>
                <w:szCs w:val="20"/>
              </w:rPr>
              <w:t xml:space="preserve"> F</w:t>
            </w:r>
            <w:r w:rsidRPr="005C630C">
              <w:rPr>
                <w:rFonts w:ascii="Arial" w:hAnsi="Arial" w:cs="Arial"/>
                <w:b/>
                <w:color w:val="17365D"/>
                <w:sz w:val="20"/>
                <w:szCs w:val="20"/>
              </w:rPr>
              <w:t>or each entity and for each cost item, a description of the reported actual costs and the difference between those costs and the determined costs, for each year of the reference period;</w:t>
            </w:r>
          </w:p>
        </w:tc>
      </w:tr>
    </w:tbl>
    <w:p w14:paraId="61E9A147" w14:textId="77777777" w:rsidR="00B4267E" w:rsidRDefault="00B4267E" w:rsidP="00B4267E">
      <w:pPr>
        <w:pStyle w:val="Default"/>
        <w:jc w:val="both"/>
        <w:rPr>
          <w:rFonts w:ascii="Arial" w:hAnsi="Arial" w:cs="Arial"/>
          <w:color w:val="17365D"/>
          <w:sz w:val="20"/>
          <w:szCs w:val="20"/>
        </w:rPr>
      </w:pPr>
    </w:p>
    <w:p w14:paraId="4BB32689" w14:textId="4AB53E65" w:rsidR="003476B4" w:rsidRDefault="002D16A8" w:rsidP="007263D0">
      <w:pPr>
        <w:autoSpaceDE w:val="0"/>
        <w:autoSpaceDN w:val="0"/>
        <w:adjustRightInd w:val="0"/>
        <w:spacing w:before="0" w:after="0"/>
        <w:rPr>
          <w:rFonts w:ascii="Arial" w:eastAsiaTheme="minorHAnsi" w:hAnsi="Arial" w:cs="Arial"/>
          <w:sz w:val="20"/>
          <w:szCs w:val="20"/>
        </w:rPr>
      </w:pPr>
      <w:r w:rsidRPr="002D16A8">
        <w:rPr>
          <w:rFonts w:ascii="Arial" w:eastAsiaTheme="minorHAnsi" w:hAnsi="Arial" w:cs="Arial"/>
          <w:sz w:val="20"/>
          <w:szCs w:val="20"/>
        </w:rPr>
        <w:t xml:space="preserve">As the local cost-efficiency performance targets for RP3 are currently subject to revision as part of the draft performance plans to be submitted by Member States to the Commission by 1 October 2021, </w:t>
      </w:r>
      <w:r>
        <w:rPr>
          <w:rFonts w:ascii="Arial" w:eastAsiaTheme="minorHAnsi" w:hAnsi="Arial" w:cs="Arial"/>
          <w:sz w:val="20"/>
          <w:szCs w:val="20"/>
        </w:rPr>
        <w:t>i</w:t>
      </w:r>
      <w:r w:rsidR="003476B4">
        <w:rPr>
          <w:rFonts w:ascii="Arial" w:eastAsiaTheme="minorHAnsi" w:hAnsi="Arial" w:cs="Arial"/>
          <w:sz w:val="20"/>
          <w:szCs w:val="20"/>
        </w:rPr>
        <w:t xml:space="preserve">n line with the </w:t>
      </w:r>
      <w:r w:rsidR="003476B4" w:rsidRPr="00781B85">
        <w:rPr>
          <w:rFonts w:ascii="Arial" w:eastAsiaTheme="minorHAnsi" w:hAnsi="Arial" w:cs="Arial"/>
          <w:sz w:val="20"/>
          <w:szCs w:val="20"/>
        </w:rPr>
        <w:t xml:space="preserve">exceptional measures for </w:t>
      </w:r>
      <w:r w:rsidR="003476B4">
        <w:rPr>
          <w:rFonts w:ascii="Arial" w:eastAsiaTheme="minorHAnsi" w:hAnsi="Arial" w:cs="Arial"/>
          <w:sz w:val="20"/>
          <w:szCs w:val="20"/>
        </w:rPr>
        <w:t>RP3</w:t>
      </w:r>
      <w:r w:rsidR="003476B4" w:rsidRPr="00781B85">
        <w:rPr>
          <w:rFonts w:ascii="Arial" w:eastAsiaTheme="minorHAnsi" w:hAnsi="Arial" w:cs="Arial"/>
          <w:sz w:val="20"/>
          <w:szCs w:val="20"/>
        </w:rPr>
        <w:t xml:space="preserve"> due to the COVID-19 pandemic</w:t>
      </w:r>
      <w:r w:rsidR="003476B4">
        <w:rPr>
          <w:rFonts w:ascii="Arial" w:eastAsiaTheme="minorHAnsi" w:hAnsi="Arial" w:cs="Arial"/>
          <w:sz w:val="20"/>
          <w:szCs w:val="20"/>
        </w:rPr>
        <w:t xml:space="preserve"> (Regulation </w:t>
      </w:r>
      <w:r w:rsidR="003476B4" w:rsidRPr="00781B85">
        <w:rPr>
          <w:rFonts w:ascii="Arial" w:eastAsiaTheme="minorHAnsi" w:hAnsi="Arial" w:cs="Arial"/>
          <w:sz w:val="20"/>
          <w:szCs w:val="20"/>
        </w:rPr>
        <w:t>(EU) 2020/1627 of 3 November 2020</w:t>
      </w:r>
      <w:r w:rsidR="003476B4">
        <w:rPr>
          <w:rFonts w:ascii="Arial" w:eastAsiaTheme="minorHAnsi" w:hAnsi="Arial" w:cs="Arial"/>
          <w:sz w:val="20"/>
          <w:szCs w:val="20"/>
        </w:rPr>
        <w:t>), the monitoring of the 2020 actual performance is carried out against the 2019 actual performance.</w:t>
      </w:r>
    </w:p>
    <w:p w14:paraId="78915528" w14:textId="77777777" w:rsidR="003476B4" w:rsidRDefault="003476B4" w:rsidP="007263D0">
      <w:pPr>
        <w:autoSpaceDE w:val="0"/>
        <w:autoSpaceDN w:val="0"/>
        <w:adjustRightInd w:val="0"/>
        <w:spacing w:before="0" w:after="0"/>
        <w:rPr>
          <w:rFonts w:ascii="Arial" w:eastAsiaTheme="minorHAnsi" w:hAnsi="Arial" w:cs="Arial"/>
          <w:sz w:val="20"/>
          <w:szCs w:val="20"/>
        </w:rPr>
      </w:pPr>
    </w:p>
    <w:p w14:paraId="7E85EA2F" w14:textId="50F321B7" w:rsidR="001B6162" w:rsidRDefault="003476B4" w:rsidP="007263D0">
      <w:pPr>
        <w:autoSpaceDE w:val="0"/>
        <w:autoSpaceDN w:val="0"/>
        <w:adjustRightInd w:val="0"/>
        <w:spacing w:before="0" w:after="0"/>
        <w:rPr>
          <w:rFonts w:ascii="Arial" w:eastAsiaTheme="minorHAnsi" w:hAnsi="Arial" w:cs="Arial"/>
          <w:sz w:val="20"/>
          <w:szCs w:val="20"/>
        </w:rPr>
      </w:pPr>
      <w:r>
        <w:rPr>
          <w:rFonts w:ascii="Arial" w:eastAsiaTheme="minorHAnsi" w:hAnsi="Arial" w:cs="Arial"/>
          <w:sz w:val="20"/>
          <w:szCs w:val="20"/>
        </w:rPr>
        <w:t>The main</w:t>
      </w:r>
      <w:r w:rsidR="001B6162">
        <w:rPr>
          <w:rFonts w:ascii="Arial" w:eastAsiaTheme="minorHAnsi" w:hAnsi="Arial" w:cs="Arial"/>
          <w:sz w:val="20"/>
          <w:szCs w:val="20"/>
        </w:rPr>
        <w:t xml:space="preserve"> drivers for differences</w:t>
      </w:r>
      <w:r w:rsidR="00781B85">
        <w:rPr>
          <w:rFonts w:ascii="Arial" w:eastAsiaTheme="minorHAnsi" w:hAnsi="Arial" w:cs="Arial"/>
          <w:sz w:val="20"/>
          <w:szCs w:val="20"/>
        </w:rPr>
        <w:t xml:space="preserve"> </w:t>
      </w:r>
      <w:r w:rsidR="001B6162">
        <w:rPr>
          <w:rFonts w:ascii="Arial" w:eastAsiaTheme="minorHAnsi" w:hAnsi="Arial" w:cs="Arial"/>
          <w:sz w:val="20"/>
          <w:szCs w:val="20"/>
        </w:rPr>
        <w:t xml:space="preserve">between actual data </w:t>
      </w:r>
      <w:r w:rsidR="00781B85">
        <w:rPr>
          <w:rFonts w:ascii="Arial" w:eastAsiaTheme="minorHAnsi" w:hAnsi="Arial" w:cs="Arial"/>
          <w:sz w:val="20"/>
          <w:szCs w:val="20"/>
        </w:rPr>
        <w:t>for 2020 and actual data for 2019</w:t>
      </w:r>
      <w:r>
        <w:rPr>
          <w:rFonts w:ascii="Arial" w:eastAsiaTheme="minorHAnsi" w:hAnsi="Arial" w:cs="Arial"/>
          <w:sz w:val="20"/>
          <w:szCs w:val="20"/>
        </w:rPr>
        <w:t xml:space="preserve"> are presented </w:t>
      </w:r>
      <w:r w:rsidR="001B6162">
        <w:rPr>
          <w:rFonts w:ascii="Arial" w:eastAsiaTheme="minorHAnsi" w:hAnsi="Arial" w:cs="Arial"/>
          <w:sz w:val="20"/>
          <w:szCs w:val="20"/>
        </w:rPr>
        <w:t xml:space="preserve">for each </w:t>
      </w:r>
      <w:r w:rsidR="00684AAF">
        <w:rPr>
          <w:rFonts w:ascii="Arial" w:eastAsiaTheme="minorHAnsi" w:hAnsi="Arial" w:cs="Arial"/>
          <w:sz w:val="20"/>
          <w:szCs w:val="20"/>
        </w:rPr>
        <w:t xml:space="preserve">cost </w:t>
      </w:r>
      <w:r w:rsidR="001B6162">
        <w:rPr>
          <w:rFonts w:ascii="Arial" w:eastAsiaTheme="minorHAnsi" w:hAnsi="Arial" w:cs="Arial"/>
          <w:sz w:val="20"/>
          <w:szCs w:val="20"/>
        </w:rPr>
        <w:t xml:space="preserve">item by nature </w:t>
      </w:r>
      <w:r>
        <w:rPr>
          <w:rFonts w:ascii="Arial" w:eastAsiaTheme="minorHAnsi" w:hAnsi="Arial" w:cs="Arial"/>
          <w:sz w:val="20"/>
          <w:szCs w:val="20"/>
        </w:rPr>
        <w:t xml:space="preserve">in </w:t>
      </w:r>
      <w:r w:rsidR="001B6162">
        <w:rPr>
          <w:rFonts w:ascii="Arial" w:eastAsiaTheme="minorHAnsi" w:hAnsi="Arial" w:cs="Arial"/>
          <w:sz w:val="20"/>
          <w:szCs w:val="20"/>
        </w:rPr>
        <w:t>the tables below.</w:t>
      </w:r>
    </w:p>
    <w:p w14:paraId="646C7A45" w14:textId="24EB5958" w:rsidR="001B6162" w:rsidRDefault="001B6162" w:rsidP="00B4267E">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6377CD" w:rsidRPr="006C2F02" w14:paraId="762782CD" w14:textId="77777777" w:rsidTr="008237A6">
        <w:trPr>
          <w:trHeight w:val="210"/>
        </w:trPr>
        <w:tc>
          <w:tcPr>
            <w:tcW w:w="9322" w:type="dxa"/>
            <w:gridSpan w:val="2"/>
            <w:shd w:val="clear" w:color="auto" w:fill="auto"/>
          </w:tcPr>
          <w:p w14:paraId="3DA1758D" w14:textId="0A68CE06" w:rsidR="006377CD" w:rsidRPr="006C2F02" w:rsidRDefault="00DA6212" w:rsidP="008237A6">
            <w:pPr>
              <w:pStyle w:val="Default"/>
              <w:jc w:val="center"/>
              <w:rPr>
                <w:b/>
                <w:color w:val="auto"/>
                <w:sz w:val="18"/>
                <w:szCs w:val="18"/>
              </w:rPr>
            </w:pPr>
            <w:r>
              <w:rPr>
                <w:rFonts w:ascii="Arial" w:hAnsi="Arial" w:cs="Arial"/>
                <w:color w:val="17365D"/>
                <w:sz w:val="20"/>
                <w:szCs w:val="20"/>
              </w:rPr>
              <w:br w:type="page"/>
            </w:r>
            <w:r w:rsidR="006377CD" w:rsidRPr="006C2F02">
              <w:rPr>
                <w:b/>
                <w:color w:val="auto"/>
                <w:sz w:val="18"/>
                <w:szCs w:val="18"/>
              </w:rPr>
              <w:t>RP</w:t>
            </w:r>
            <w:r w:rsidR="006377CD">
              <w:rPr>
                <w:b/>
                <w:color w:val="auto"/>
                <w:sz w:val="18"/>
                <w:szCs w:val="18"/>
              </w:rPr>
              <w:t>3 Monitoring</w:t>
            </w:r>
            <w:r w:rsidR="006377CD" w:rsidRPr="006C2F02">
              <w:rPr>
                <w:b/>
                <w:color w:val="auto"/>
                <w:sz w:val="18"/>
                <w:szCs w:val="18"/>
              </w:rPr>
              <w:t xml:space="preserve"> – </w:t>
            </w:r>
            <w:r w:rsidR="006377CD">
              <w:rPr>
                <w:b/>
                <w:color w:val="auto"/>
                <w:sz w:val="18"/>
                <w:szCs w:val="18"/>
              </w:rPr>
              <w:t>Year 2020 vs. 2019</w:t>
            </w:r>
          </w:p>
        </w:tc>
      </w:tr>
      <w:tr w:rsidR="006377CD" w:rsidRPr="00781B85" w14:paraId="661DFF98" w14:textId="77777777" w:rsidTr="008237A6">
        <w:trPr>
          <w:trHeight w:val="239"/>
        </w:trPr>
        <w:tc>
          <w:tcPr>
            <w:tcW w:w="9322" w:type="dxa"/>
            <w:gridSpan w:val="2"/>
            <w:shd w:val="clear" w:color="auto" w:fill="auto"/>
          </w:tcPr>
          <w:p w14:paraId="64D1F7D8" w14:textId="07DE2E9A" w:rsidR="006377CD" w:rsidRPr="00781B85" w:rsidRDefault="006377CD" w:rsidP="006377CD">
            <w:pPr>
              <w:pStyle w:val="Default"/>
              <w:rPr>
                <w:b/>
                <w:iCs/>
                <w:color w:val="auto"/>
                <w:sz w:val="18"/>
                <w:szCs w:val="18"/>
              </w:rPr>
            </w:pPr>
            <w:r w:rsidRPr="00781B85">
              <w:rPr>
                <w:rFonts w:ascii="Calibri,Bold" w:eastAsiaTheme="minorHAnsi" w:hAnsi="Calibri,Bold" w:cs="Calibri,Bold"/>
                <w:b/>
                <w:bCs/>
                <w:sz w:val="18"/>
                <w:szCs w:val="18"/>
              </w:rPr>
              <w:t xml:space="preserve">ANSP: </w:t>
            </w:r>
            <w:proofErr w:type="spellStart"/>
            <w:r w:rsidR="00400AD3" w:rsidRPr="003B2141">
              <w:rPr>
                <w:b/>
                <w:color w:val="0070C0"/>
                <w:sz w:val="18"/>
                <w:szCs w:val="18"/>
              </w:rPr>
              <w:t>Avinor</w:t>
            </w:r>
            <w:proofErr w:type="spellEnd"/>
            <w:r w:rsidR="00400AD3" w:rsidRPr="003B2141">
              <w:rPr>
                <w:b/>
                <w:color w:val="0070C0"/>
                <w:sz w:val="18"/>
                <w:szCs w:val="18"/>
              </w:rPr>
              <w:t xml:space="preserve"> </w:t>
            </w:r>
            <w:r w:rsidR="00400AD3">
              <w:rPr>
                <w:b/>
                <w:color w:val="0070C0"/>
                <w:sz w:val="18"/>
                <w:szCs w:val="18"/>
              </w:rPr>
              <w:t>Air Navigation Services</w:t>
            </w:r>
            <w:r w:rsidR="00400AD3" w:rsidRPr="00781B85">
              <w:rPr>
                <w:rFonts w:ascii="Calibri,Bold" w:eastAsiaTheme="minorHAnsi" w:hAnsi="Calibri,Bold" w:cs="Calibri,Bold"/>
                <w:bCs/>
                <w:sz w:val="18"/>
                <w:szCs w:val="18"/>
                <w:highlight w:val="yellow"/>
              </w:rPr>
              <w:t xml:space="preserve"> </w:t>
            </w:r>
          </w:p>
        </w:tc>
      </w:tr>
      <w:tr w:rsidR="006377CD" w:rsidRPr="009A19BC" w14:paraId="4416B3B6" w14:textId="77777777" w:rsidTr="008237A6">
        <w:tc>
          <w:tcPr>
            <w:tcW w:w="2122" w:type="dxa"/>
            <w:shd w:val="clear" w:color="auto" w:fill="auto"/>
          </w:tcPr>
          <w:p w14:paraId="27E35A2A" w14:textId="77777777" w:rsidR="006377CD" w:rsidRPr="009A19BC" w:rsidRDefault="006377CD" w:rsidP="006377CD">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15D91566" w14:textId="608D9CB8" w:rsidR="006377CD" w:rsidRPr="00400808" w:rsidRDefault="00B7519A" w:rsidP="006377CD">
            <w:pPr>
              <w:pStyle w:val="Default"/>
              <w:jc w:val="both"/>
              <w:rPr>
                <w:bCs/>
                <w:iCs/>
                <w:color w:val="auto"/>
                <w:sz w:val="18"/>
                <w:szCs w:val="18"/>
              </w:rPr>
            </w:pPr>
            <w:r w:rsidRPr="00400808">
              <w:rPr>
                <w:bCs/>
                <w:iCs/>
                <w:color w:val="auto"/>
                <w:sz w:val="18"/>
                <w:szCs w:val="18"/>
              </w:rPr>
              <w:t xml:space="preserve">The share of </w:t>
            </w:r>
            <w:r w:rsidR="006265BC" w:rsidRPr="00400808">
              <w:rPr>
                <w:bCs/>
                <w:iCs/>
                <w:color w:val="auto"/>
                <w:sz w:val="18"/>
                <w:szCs w:val="18"/>
              </w:rPr>
              <w:t>approach cost</w:t>
            </w:r>
            <w:r w:rsidR="00511137">
              <w:rPr>
                <w:bCs/>
                <w:iCs/>
                <w:color w:val="auto"/>
                <w:sz w:val="18"/>
                <w:szCs w:val="18"/>
              </w:rPr>
              <w:t>s</w:t>
            </w:r>
            <w:r w:rsidRPr="00400808">
              <w:rPr>
                <w:bCs/>
                <w:iCs/>
                <w:color w:val="auto"/>
                <w:sz w:val="18"/>
                <w:szCs w:val="18"/>
              </w:rPr>
              <w:t xml:space="preserve"> </w:t>
            </w:r>
            <w:r w:rsidR="00D02608" w:rsidRPr="00400808">
              <w:rPr>
                <w:bCs/>
                <w:iCs/>
                <w:color w:val="auto"/>
                <w:sz w:val="18"/>
                <w:szCs w:val="18"/>
              </w:rPr>
              <w:t>allocated to terminal services was reduced from 50 % to 20 % from 1. January 2020</w:t>
            </w:r>
            <w:r w:rsidR="006265BC" w:rsidRPr="00400808">
              <w:rPr>
                <w:bCs/>
                <w:iCs/>
                <w:color w:val="auto"/>
                <w:sz w:val="18"/>
                <w:szCs w:val="18"/>
              </w:rPr>
              <w:t>, please see 1a</w:t>
            </w:r>
            <w:r w:rsidR="0061429A">
              <w:rPr>
                <w:bCs/>
                <w:iCs/>
                <w:color w:val="auto"/>
                <w:sz w:val="18"/>
                <w:szCs w:val="18"/>
              </w:rPr>
              <w:t>,</w:t>
            </w:r>
            <w:r w:rsidR="0061429A" w:rsidRPr="00400808">
              <w:rPr>
                <w:bCs/>
                <w:iCs/>
                <w:color w:val="auto"/>
                <w:sz w:val="18"/>
                <w:szCs w:val="18"/>
              </w:rPr>
              <w:t xml:space="preserve"> </w:t>
            </w:r>
            <w:r w:rsidR="0061429A">
              <w:rPr>
                <w:bCs/>
                <w:iCs/>
                <w:color w:val="auto"/>
                <w:sz w:val="18"/>
                <w:szCs w:val="18"/>
              </w:rPr>
              <w:t>decreasing the cost-base with 58,9 MNOK</w:t>
            </w:r>
            <w:r w:rsidR="00F802D8">
              <w:rPr>
                <w:bCs/>
                <w:iCs/>
                <w:color w:val="auto"/>
                <w:sz w:val="18"/>
                <w:szCs w:val="18"/>
              </w:rPr>
              <w:t xml:space="preserve">. The </w:t>
            </w:r>
            <w:r w:rsidR="001B23BE">
              <w:rPr>
                <w:bCs/>
                <w:iCs/>
                <w:color w:val="auto"/>
                <w:sz w:val="18"/>
                <w:szCs w:val="18"/>
              </w:rPr>
              <w:t xml:space="preserve">remaining </w:t>
            </w:r>
            <w:r w:rsidR="00F802D8">
              <w:rPr>
                <w:bCs/>
                <w:iCs/>
                <w:color w:val="auto"/>
                <w:sz w:val="18"/>
                <w:szCs w:val="18"/>
              </w:rPr>
              <w:t>c</w:t>
            </w:r>
            <w:r w:rsidRPr="00400808">
              <w:rPr>
                <w:bCs/>
                <w:iCs/>
                <w:color w:val="auto"/>
                <w:sz w:val="18"/>
                <w:szCs w:val="18"/>
              </w:rPr>
              <w:t xml:space="preserve">ost reductions </w:t>
            </w:r>
            <w:r w:rsidR="00F802D8">
              <w:rPr>
                <w:bCs/>
                <w:iCs/>
                <w:color w:val="auto"/>
                <w:sz w:val="18"/>
                <w:szCs w:val="18"/>
              </w:rPr>
              <w:t xml:space="preserve">are </w:t>
            </w:r>
            <w:r w:rsidRPr="00400808">
              <w:rPr>
                <w:bCs/>
                <w:iCs/>
                <w:color w:val="auto"/>
                <w:sz w:val="18"/>
                <w:szCs w:val="18"/>
              </w:rPr>
              <w:t>related to reduced operational activity due to the COVID-19 pandemic</w:t>
            </w:r>
            <w:r w:rsidR="00511137">
              <w:rPr>
                <w:bCs/>
                <w:iCs/>
                <w:color w:val="auto"/>
                <w:sz w:val="18"/>
                <w:szCs w:val="18"/>
              </w:rPr>
              <w:t>. This</w:t>
            </w:r>
            <w:r w:rsidRPr="00400808">
              <w:rPr>
                <w:bCs/>
                <w:iCs/>
                <w:color w:val="auto"/>
                <w:sz w:val="18"/>
                <w:szCs w:val="18"/>
              </w:rPr>
              <w:t xml:space="preserve"> </w:t>
            </w:r>
            <w:r w:rsidR="006265BC" w:rsidRPr="00400808">
              <w:rPr>
                <w:bCs/>
                <w:iCs/>
                <w:color w:val="auto"/>
                <w:sz w:val="18"/>
                <w:szCs w:val="18"/>
              </w:rPr>
              <w:t xml:space="preserve">is described in more detail in </w:t>
            </w:r>
            <w:r w:rsidR="006265BC" w:rsidRPr="00400808">
              <w:rPr>
                <w:bCs/>
                <w:i/>
                <w:color w:val="auto"/>
                <w:sz w:val="18"/>
                <w:szCs w:val="18"/>
              </w:rPr>
              <w:t>1f, 1.1. Staff Cost.</w:t>
            </w:r>
            <w:r w:rsidR="006265BC" w:rsidRPr="00400808">
              <w:rPr>
                <w:bCs/>
                <w:iCs/>
                <w:color w:val="auto"/>
                <w:sz w:val="18"/>
                <w:szCs w:val="18"/>
              </w:rPr>
              <w:t xml:space="preserve"> </w:t>
            </w:r>
          </w:p>
        </w:tc>
      </w:tr>
      <w:tr w:rsidR="006377CD" w:rsidRPr="009A19BC" w14:paraId="2F25A7F4" w14:textId="77777777" w:rsidTr="008237A6">
        <w:tc>
          <w:tcPr>
            <w:tcW w:w="2122" w:type="dxa"/>
            <w:shd w:val="clear" w:color="auto" w:fill="auto"/>
          </w:tcPr>
          <w:p w14:paraId="35F915CC" w14:textId="77777777" w:rsidR="006377CD" w:rsidRPr="009A19BC" w:rsidRDefault="006377CD" w:rsidP="006377CD">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5D054B46" w14:textId="1C54468E" w:rsidR="006377CD" w:rsidRPr="00400808" w:rsidRDefault="006265BC" w:rsidP="006377CD">
            <w:pPr>
              <w:pStyle w:val="Default"/>
              <w:jc w:val="both"/>
              <w:rPr>
                <w:bCs/>
                <w:iCs/>
                <w:color w:val="auto"/>
                <w:sz w:val="18"/>
                <w:szCs w:val="18"/>
              </w:rPr>
            </w:pPr>
            <w:r w:rsidRPr="00400808">
              <w:rPr>
                <w:bCs/>
                <w:iCs/>
                <w:color w:val="auto"/>
                <w:sz w:val="18"/>
                <w:szCs w:val="18"/>
                <w:lang w:val="en-US"/>
              </w:rPr>
              <w:t xml:space="preserve">Please see 1.1. </w:t>
            </w:r>
          </w:p>
        </w:tc>
      </w:tr>
      <w:tr w:rsidR="00400808" w:rsidRPr="009A19BC" w14:paraId="3CE04B1D" w14:textId="77777777" w:rsidTr="008237A6">
        <w:tc>
          <w:tcPr>
            <w:tcW w:w="2122" w:type="dxa"/>
            <w:shd w:val="clear" w:color="auto" w:fill="auto"/>
          </w:tcPr>
          <w:p w14:paraId="52A90837" w14:textId="77777777" w:rsidR="00400808" w:rsidRPr="009A19BC" w:rsidRDefault="00400808" w:rsidP="00400808">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63296C2B" w14:textId="46B7559C" w:rsidR="00400808" w:rsidRPr="00400808" w:rsidRDefault="00400808" w:rsidP="00400808">
            <w:pPr>
              <w:pStyle w:val="Default"/>
              <w:jc w:val="both"/>
              <w:rPr>
                <w:bCs/>
                <w:iCs/>
                <w:color w:val="auto"/>
                <w:sz w:val="18"/>
                <w:szCs w:val="18"/>
              </w:rPr>
            </w:pPr>
            <w:r w:rsidRPr="00DA6212">
              <w:rPr>
                <w:rFonts w:cs="Arial"/>
                <w:color w:val="auto"/>
                <w:sz w:val="18"/>
                <w:szCs w:val="18"/>
              </w:rPr>
              <w:t xml:space="preserve">Depreciation on assets owned by </w:t>
            </w:r>
            <w:proofErr w:type="spellStart"/>
            <w:r w:rsidRPr="00DA6212">
              <w:rPr>
                <w:rFonts w:cs="Arial"/>
                <w:color w:val="auto"/>
                <w:sz w:val="18"/>
                <w:szCs w:val="18"/>
              </w:rPr>
              <w:t>Avinor</w:t>
            </w:r>
            <w:proofErr w:type="spellEnd"/>
            <w:r w:rsidRPr="00DA6212">
              <w:rPr>
                <w:rFonts w:cs="Arial"/>
                <w:color w:val="auto"/>
                <w:sz w:val="18"/>
                <w:szCs w:val="18"/>
              </w:rPr>
              <w:t xml:space="preserve"> ANS </w:t>
            </w:r>
            <w:r w:rsidRPr="00DA6212">
              <w:rPr>
                <w:bCs/>
                <w:iCs/>
                <w:color w:val="auto"/>
                <w:sz w:val="18"/>
                <w:szCs w:val="18"/>
              </w:rPr>
              <w:t>is increasing due to change of allocation method</w:t>
            </w:r>
            <w:r w:rsidR="001B23BE">
              <w:rPr>
                <w:bCs/>
                <w:iCs/>
                <w:color w:val="auto"/>
                <w:sz w:val="18"/>
                <w:szCs w:val="18"/>
              </w:rPr>
              <w:t xml:space="preserve"> for approach services</w:t>
            </w:r>
            <w:r w:rsidRPr="00DA6212">
              <w:rPr>
                <w:bCs/>
                <w:iCs/>
                <w:color w:val="auto"/>
                <w:sz w:val="18"/>
                <w:szCs w:val="18"/>
              </w:rPr>
              <w:t>. The assets are allocated relating to the services they are supporting</w:t>
            </w:r>
            <w:r w:rsidR="00DF4D39" w:rsidRPr="00DA6212">
              <w:rPr>
                <w:bCs/>
                <w:iCs/>
                <w:color w:val="auto"/>
                <w:sz w:val="18"/>
                <w:szCs w:val="18"/>
              </w:rPr>
              <w:t xml:space="preserve">. </w:t>
            </w:r>
            <w:r w:rsidRPr="00400808">
              <w:rPr>
                <w:bCs/>
                <w:iCs/>
                <w:color w:val="auto"/>
                <w:sz w:val="18"/>
                <w:szCs w:val="18"/>
              </w:rPr>
              <w:t xml:space="preserve"> </w:t>
            </w:r>
          </w:p>
          <w:p w14:paraId="4727A7FB" w14:textId="77777777" w:rsidR="00400808" w:rsidRPr="00400808" w:rsidRDefault="00400808" w:rsidP="00400808">
            <w:pPr>
              <w:pStyle w:val="Default"/>
              <w:jc w:val="both"/>
              <w:rPr>
                <w:bCs/>
                <w:iCs/>
                <w:color w:val="auto"/>
                <w:sz w:val="18"/>
                <w:szCs w:val="18"/>
              </w:rPr>
            </w:pPr>
          </w:p>
          <w:p w14:paraId="408802CD" w14:textId="025C2BC6" w:rsidR="00400808" w:rsidRPr="00400808" w:rsidRDefault="00400808" w:rsidP="00400808">
            <w:pPr>
              <w:pStyle w:val="Default"/>
              <w:jc w:val="both"/>
              <w:rPr>
                <w:bCs/>
                <w:iCs/>
                <w:color w:val="auto"/>
                <w:sz w:val="18"/>
                <w:szCs w:val="18"/>
              </w:rPr>
            </w:pPr>
            <w:proofErr w:type="spellStart"/>
            <w:r w:rsidRPr="00400808">
              <w:rPr>
                <w:rFonts w:cs="Arial"/>
                <w:color w:val="auto"/>
                <w:sz w:val="18"/>
                <w:szCs w:val="18"/>
              </w:rPr>
              <w:t>Avinor</w:t>
            </w:r>
            <w:proofErr w:type="spellEnd"/>
            <w:r w:rsidRPr="00400808">
              <w:rPr>
                <w:rFonts w:cs="Arial"/>
                <w:color w:val="auto"/>
                <w:sz w:val="18"/>
                <w:szCs w:val="18"/>
              </w:rPr>
              <w:t xml:space="preserve"> AS is the owner of most asset</w:t>
            </w:r>
            <w:r w:rsidR="001B23BE">
              <w:rPr>
                <w:rFonts w:cs="Arial"/>
                <w:color w:val="auto"/>
                <w:sz w:val="18"/>
                <w:szCs w:val="18"/>
              </w:rPr>
              <w:t>s</w:t>
            </w:r>
            <w:r w:rsidRPr="00400808">
              <w:rPr>
                <w:rFonts w:cs="Arial"/>
                <w:color w:val="auto"/>
                <w:sz w:val="18"/>
                <w:szCs w:val="18"/>
              </w:rPr>
              <w:t xml:space="preserve"> in</w:t>
            </w:r>
            <w:r w:rsidRPr="00400808">
              <w:rPr>
                <w:bCs/>
                <w:iCs/>
                <w:color w:val="auto"/>
                <w:sz w:val="18"/>
                <w:szCs w:val="18"/>
                <w:lang w:val="en-US"/>
              </w:rPr>
              <w:t xml:space="preserve"> operations of terminal navigation services. </w:t>
            </w:r>
          </w:p>
        </w:tc>
      </w:tr>
      <w:tr w:rsidR="00400808" w:rsidRPr="009A19BC" w14:paraId="5A19561B" w14:textId="77777777" w:rsidTr="008237A6">
        <w:tc>
          <w:tcPr>
            <w:tcW w:w="2122" w:type="dxa"/>
            <w:shd w:val="clear" w:color="auto" w:fill="auto"/>
          </w:tcPr>
          <w:p w14:paraId="03AE6CCF" w14:textId="77777777" w:rsidR="00400808" w:rsidRPr="009A19BC" w:rsidRDefault="00400808" w:rsidP="00400808">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335835EB" w14:textId="616908E7" w:rsidR="00400808" w:rsidRPr="009A19BC" w:rsidRDefault="00400808" w:rsidP="00400808">
            <w:pPr>
              <w:pStyle w:val="Default"/>
              <w:jc w:val="both"/>
              <w:rPr>
                <w:bCs/>
                <w:iCs/>
                <w:color w:val="auto"/>
                <w:sz w:val="18"/>
                <w:szCs w:val="18"/>
              </w:rPr>
            </w:pPr>
            <w:r>
              <w:rPr>
                <w:rFonts w:cs="Arial"/>
                <w:color w:val="auto"/>
                <w:sz w:val="18"/>
                <w:szCs w:val="18"/>
              </w:rPr>
              <w:t xml:space="preserve">Please see 1.3. </w:t>
            </w:r>
          </w:p>
        </w:tc>
      </w:tr>
      <w:tr w:rsidR="00400808" w:rsidRPr="009A19BC" w14:paraId="297FE5F9" w14:textId="77777777" w:rsidTr="008237A6">
        <w:tc>
          <w:tcPr>
            <w:tcW w:w="2122" w:type="dxa"/>
            <w:shd w:val="clear" w:color="auto" w:fill="auto"/>
          </w:tcPr>
          <w:p w14:paraId="19092C91" w14:textId="77777777" w:rsidR="00400808" w:rsidRPr="009A19BC" w:rsidRDefault="00400808" w:rsidP="00400808">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56E85133" w14:textId="7084425F" w:rsidR="00400808" w:rsidRPr="009A19BC" w:rsidRDefault="00400808" w:rsidP="00400808">
            <w:pPr>
              <w:pStyle w:val="Default"/>
              <w:jc w:val="both"/>
              <w:rPr>
                <w:bCs/>
                <w:iCs/>
                <w:color w:val="auto"/>
                <w:sz w:val="18"/>
                <w:szCs w:val="18"/>
              </w:rPr>
            </w:pPr>
            <w:r w:rsidRPr="00DA6212">
              <w:rPr>
                <w:bCs/>
                <w:iCs/>
                <w:color w:val="auto"/>
                <w:sz w:val="18"/>
                <w:szCs w:val="18"/>
                <w:lang w:val="en-US"/>
              </w:rPr>
              <w:t>&lt; … &gt;</w:t>
            </w:r>
          </w:p>
        </w:tc>
      </w:tr>
    </w:tbl>
    <w:p w14:paraId="2AA65022" w14:textId="77777777" w:rsidR="006377CD" w:rsidRDefault="006377CD" w:rsidP="006377CD">
      <w:pPr>
        <w:pStyle w:val="Default"/>
        <w:jc w:val="both"/>
        <w:rPr>
          <w:rFonts w:ascii="Arial" w:hAnsi="Arial" w:cs="Arial"/>
          <w:color w:val="17365D"/>
          <w:sz w:val="20"/>
          <w:szCs w:val="20"/>
        </w:rPr>
      </w:pPr>
    </w:p>
    <w:p w14:paraId="495CF78D" w14:textId="77777777" w:rsidR="006377CD" w:rsidRDefault="006377CD"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FA09E9" w:rsidRPr="006C2F02" w14:paraId="5F06840D" w14:textId="77777777" w:rsidTr="008237A6">
        <w:trPr>
          <w:trHeight w:val="210"/>
        </w:trPr>
        <w:tc>
          <w:tcPr>
            <w:tcW w:w="9322" w:type="dxa"/>
            <w:gridSpan w:val="2"/>
            <w:shd w:val="clear" w:color="auto" w:fill="auto"/>
          </w:tcPr>
          <w:p w14:paraId="7E2B5270" w14:textId="3AC5D646" w:rsidR="00FA09E9" w:rsidRPr="006C2F02" w:rsidRDefault="00FA09E9" w:rsidP="00FA09E9">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2020 vs. 2019</w:t>
            </w:r>
          </w:p>
        </w:tc>
      </w:tr>
      <w:tr w:rsidR="00FA09E9" w:rsidRPr="006C2F02" w14:paraId="0E192F6A" w14:textId="77777777" w:rsidTr="008237A6">
        <w:trPr>
          <w:trHeight w:val="239"/>
        </w:trPr>
        <w:tc>
          <w:tcPr>
            <w:tcW w:w="9322" w:type="dxa"/>
            <w:gridSpan w:val="2"/>
            <w:shd w:val="clear" w:color="auto" w:fill="auto"/>
          </w:tcPr>
          <w:p w14:paraId="1804E02F" w14:textId="1F8103D2" w:rsidR="00FA09E9" w:rsidRPr="006377CD" w:rsidRDefault="00FA09E9" w:rsidP="008237A6">
            <w:pPr>
              <w:pStyle w:val="Default"/>
              <w:rPr>
                <w:b/>
                <w:iCs/>
                <w:color w:val="auto"/>
                <w:sz w:val="18"/>
                <w:szCs w:val="18"/>
              </w:rPr>
            </w:pPr>
            <w:r w:rsidRPr="006377CD">
              <w:rPr>
                <w:b/>
                <w:iCs/>
                <w:color w:val="auto"/>
                <w:sz w:val="18"/>
                <w:szCs w:val="18"/>
              </w:rPr>
              <w:t>STATE/NSA:</w:t>
            </w:r>
            <w:r w:rsidRPr="006377CD">
              <w:rPr>
                <w:b/>
                <w:color w:val="auto"/>
                <w:sz w:val="18"/>
                <w:szCs w:val="18"/>
              </w:rPr>
              <w:t xml:space="preserve">  </w:t>
            </w:r>
            <w:proofErr w:type="spellStart"/>
            <w:r w:rsidR="0079324C">
              <w:rPr>
                <w:b/>
                <w:color w:val="auto"/>
                <w:sz w:val="18"/>
                <w:szCs w:val="18"/>
              </w:rPr>
              <w:t>Avinor</w:t>
            </w:r>
            <w:proofErr w:type="spellEnd"/>
            <w:r w:rsidR="0079324C">
              <w:rPr>
                <w:b/>
                <w:color w:val="auto"/>
                <w:sz w:val="18"/>
                <w:szCs w:val="18"/>
              </w:rPr>
              <w:t xml:space="preserve"> ANS</w:t>
            </w:r>
          </w:p>
        </w:tc>
      </w:tr>
      <w:tr w:rsidR="00937E52" w:rsidRPr="009A19BC" w14:paraId="61A404A6" w14:textId="77777777" w:rsidTr="008237A6">
        <w:tc>
          <w:tcPr>
            <w:tcW w:w="2122" w:type="dxa"/>
            <w:shd w:val="clear" w:color="auto" w:fill="auto"/>
          </w:tcPr>
          <w:p w14:paraId="773C9BCB" w14:textId="77777777" w:rsidR="00937E52" w:rsidRPr="009A19BC" w:rsidRDefault="00937E52" w:rsidP="00937E52">
            <w:pPr>
              <w:pStyle w:val="Default"/>
              <w:jc w:val="both"/>
              <w:rPr>
                <w:bCs/>
                <w:color w:val="auto"/>
                <w:sz w:val="18"/>
                <w:szCs w:val="18"/>
              </w:rPr>
            </w:pPr>
            <w:r w:rsidRPr="009A19BC">
              <w:rPr>
                <w:bCs/>
                <w:color w:val="auto"/>
                <w:sz w:val="18"/>
                <w:szCs w:val="18"/>
              </w:rPr>
              <w:t>1.1 Staff costs</w:t>
            </w:r>
          </w:p>
        </w:tc>
        <w:tc>
          <w:tcPr>
            <w:tcW w:w="7200" w:type="dxa"/>
            <w:shd w:val="clear" w:color="auto" w:fill="auto"/>
          </w:tcPr>
          <w:p w14:paraId="6CD27A20" w14:textId="24D6000E" w:rsidR="00937E52" w:rsidRPr="00DA6212" w:rsidRDefault="00937E52" w:rsidP="00937E52">
            <w:pPr>
              <w:pStyle w:val="Default"/>
              <w:jc w:val="both"/>
              <w:rPr>
                <w:bCs/>
                <w:iCs/>
                <w:color w:val="auto"/>
                <w:sz w:val="18"/>
                <w:szCs w:val="18"/>
              </w:rPr>
            </w:pPr>
            <w:r w:rsidRPr="00DA6212">
              <w:rPr>
                <w:bCs/>
                <w:iCs/>
                <w:color w:val="auto"/>
                <w:sz w:val="18"/>
                <w:szCs w:val="18"/>
                <w:lang w:val="en-US"/>
              </w:rPr>
              <w:t>&lt; … &gt;</w:t>
            </w:r>
          </w:p>
        </w:tc>
      </w:tr>
      <w:tr w:rsidR="00937E52" w:rsidRPr="009A19BC" w14:paraId="340858BD" w14:textId="77777777" w:rsidTr="008237A6">
        <w:tc>
          <w:tcPr>
            <w:tcW w:w="2122" w:type="dxa"/>
            <w:shd w:val="clear" w:color="auto" w:fill="auto"/>
          </w:tcPr>
          <w:p w14:paraId="6C534B37" w14:textId="77777777" w:rsidR="00937E52" w:rsidRPr="009A19BC" w:rsidRDefault="00937E52" w:rsidP="00937E52">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158896A8" w14:textId="0305D6E6" w:rsidR="00937E52" w:rsidRPr="002D5F12" w:rsidRDefault="002D5F12" w:rsidP="00937E52">
            <w:pPr>
              <w:pStyle w:val="Default"/>
              <w:jc w:val="both"/>
              <w:rPr>
                <w:bCs/>
                <w:iCs/>
                <w:color w:val="00B0F0"/>
                <w:sz w:val="18"/>
                <w:szCs w:val="18"/>
              </w:rPr>
            </w:pPr>
            <w:r w:rsidRPr="00400808">
              <w:rPr>
                <w:bCs/>
                <w:iCs/>
                <w:color w:val="auto"/>
                <w:sz w:val="18"/>
                <w:szCs w:val="18"/>
              </w:rPr>
              <w:t xml:space="preserve">The APP share of the NSA cost in 2020 is deducted with 80% which is allocated to the </w:t>
            </w:r>
            <w:proofErr w:type="spellStart"/>
            <w:r w:rsidRPr="00400808">
              <w:rPr>
                <w:bCs/>
                <w:iCs/>
                <w:color w:val="auto"/>
                <w:sz w:val="18"/>
                <w:szCs w:val="18"/>
              </w:rPr>
              <w:t>en</w:t>
            </w:r>
            <w:proofErr w:type="spellEnd"/>
            <w:r w:rsidRPr="00400808">
              <w:rPr>
                <w:bCs/>
                <w:iCs/>
                <w:color w:val="auto"/>
                <w:sz w:val="18"/>
                <w:szCs w:val="18"/>
              </w:rPr>
              <w:t>-route cost base.</w:t>
            </w:r>
          </w:p>
        </w:tc>
      </w:tr>
      <w:tr w:rsidR="00937E52" w:rsidRPr="009A19BC" w14:paraId="3C0EFD6B" w14:textId="77777777" w:rsidTr="008237A6">
        <w:tc>
          <w:tcPr>
            <w:tcW w:w="2122" w:type="dxa"/>
            <w:shd w:val="clear" w:color="auto" w:fill="auto"/>
          </w:tcPr>
          <w:p w14:paraId="3F411CDB" w14:textId="77777777" w:rsidR="00937E52" w:rsidRPr="009A19BC" w:rsidRDefault="00937E52" w:rsidP="00937E52">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635E8486" w14:textId="0E5A24C3" w:rsidR="00937E52" w:rsidRPr="00DA6212" w:rsidRDefault="00937E52" w:rsidP="00937E52">
            <w:pPr>
              <w:pStyle w:val="Default"/>
              <w:jc w:val="both"/>
              <w:rPr>
                <w:bCs/>
                <w:iCs/>
                <w:color w:val="auto"/>
                <w:sz w:val="18"/>
                <w:szCs w:val="18"/>
              </w:rPr>
            </w:pPr>
            <w:r w:rsidRPr="00DA6212">
              <w:rPr>
                <w:bCs/>
                <w:iCs/>
                <w:color w:val="auto"/>
                <w:sz w:val="18"/>
                <w:szCs w:val="18"/>
                <w:lang w:val="en-US"/>
              </w:rPr>
              <w:t>&lt; … &gt;</w:t>
            </w:r>
          </w:p>
        </w:tc>
      </w:tr>
      <w:tr w:rsidR="00937E52" w:rsidRPr="009A19BC" w14:paraId="7C4CC5BF" w14:textId="77777777" w:rsidTr="008237A6">
        <w:tc>
          <w:tcPr>
            <w:tcW w:w="2122" w:type="dxa"/>
            <w:shd w:val="clear" w:color="auto" w:fill="auto"/>
          </w:tcPr>
          <w:p w14:paraId="261CCB90" w14:textId="77777777" w:rsidR="00937E52" w:rsidRPr="009A19BC" w:rsidRDefault="00937E52" w:rsidP="00937E52">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331308FE" w14:textId="3340F53A" w:rsidR="00937E52" w:rsidRPr="00DA6212" w:rsidRDefault="00937E52" w:rsidP="00937E52">
            <w:pPr>
              <w:pStyle w:val="Default"/>
              <w:jc w:val="both"/>
              <w:rPr>
                <w:bCs/>
                <w:iCs/>
                <w:color w:val="auto"/>
                <w:sz w:val="18"/>
                <w:szCs w:val="18"/>
              </w:rPr>
            </w:pPr>
            <w:r w:rsidRPr="00DA6212">
              <w:rPr>
                <w:bCs/>
                <w:iCs/>
                <w:color w:val="auto"/>
                <w:sz w:val="18"/>
                <w:szCs w:val="18"/>
                <w:lang w:val="en-US"/>
              </w:rPr>
              <w:t>&lt; … &gt;</w:t>
            </w:r>
          </w:p>
        </w:tc>
      </w:tr>
      <w:tr w:rsidR="00937E52" w:rsidRPr="009A19BC" w14:paraId="36511D62" w14:textId="77777777" w:rsidTr="008237A6">
        <w:tc>
          <w:tcPr>
            <w:tcW w:w="2122" w:type="dxa"/>
            <w:shd w:val="clear" w:color="auto" w:fill="auto"/>
          </w:tcPr>
          <w:p w14:paraId="284B298C" w14:textId="77777777" w:rsidR="00937E52" w:rsidRPr="009A19BC" w:rsidRDefault="00937E52" w:rsidP="00937E52">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318E2C95" w14:textId="5E0C883D" w:rsidR="00937E52" w:rsidRPr="00DA6212" w:rsidRDefault="00937E52" w:rsidP="00937E52">
            <w:pPr>
              <w:pStyle w:val="Default"/>
              <w:jc w:val="both"/>
              <w:rPr>
                <w:bCs/>
                <w:iCs/>
                <w:color w:val="auto"/>
                <w:sz w:val="18"/>
                <w:szCs w:val="18"/>
              </w:rPr>
            </w:pPr>
            <w:r w:rsidRPr="00DA6212">
              <w:rPr>
                <w:bCs/>
                <w:iCs/>
                <w:color w:val="auto"/>
                <w:sz w:val="18"/>
                <w:szCs w:val="18"/>
                <w:lang w:val="en-US"/>
              </w:rPr>
              <w:t>&lt; … &gt;</w:t>
            </w:r>
          </w:p>
        </w:tc>
      </w:tr>
    </w:tbl>
    <w:p w14:paraId="3F60C6A3" w14:textId="6D771576" w:rsidR="00771831" w:rsidRDefault="00771831" w:rsidP="00B4267E">
      <w:pPr>
        <w:pStyle w:val="Default"/>
        <w:jc w:val="both"/>
        <w:rPr>
          <w:rFonts w:ascii="Arial" w:hAnsi="Arial" w:cs="Arial"/>
          <w:color w:val="17365D"/>
          <w:sz w:val="20"/>
          <w:szCs w:val="20"/>
        </w:rPr>
      </w:pPr>
    </w:p>
    <w:p w14:paraId="6C063952" w14:textId="77777777" w:rsidR="00B4267E" w:rsidRPr="00CA5B88"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22785BE2" w14:textId="77777777" w:rsidTr="00225F7F">
        <w:tc>
          <w:tcPr>
            <w:tcW w:w="9242" w:type="dxa"/>
            <w:shd w:val="clear" w:color="auto" w:fill="C6D9F1"/>
          </w:tcPr>
          <w:p w14:paraId="45D1F387" w14:textId="77777777" w:rsidR="00B4267E" w:rsidRPr="00CA5B88" w:rsidRDefault="00B4267E" w:rsidP="00225F7F">
            <w:pPr>
              <w:pStyle w:val="Default"/>
              <w:spacing w:before="60" w:after="60"/>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5C630C">
              <w:rPr>
                <w:rFonts w:ascii="Arial" w:hAnsi="Arial" w:cs="Arial"/>
                <w:b/>
                <w:color w:val="17365D"/>
                <w:sz w:val="20"/>
                <w:szCs w:val="20"/>
              </w:rPr>
              <w:t>escription of the reported actual service units and a description of any differences between those units and the figures provided by the entity that is billing and collecting charges as well as any differences between those units and the forecast set in the performance plan, for each year of the reference period;</w:t>
            </w:r>
          </w:p>
        </w:tc>
      </w:tr>
    </w:tbl>
    <w:p w14:paraId="7E69BEC5" w14:textId="778A7A7C" w:rsidR="00B4267E" w:rsidRDefault="00B4267E" w:rsidP="00B4267E">
      <w:pPr>
        <w:pStyle w:val="Default"/>
        <w:jc w:val="both"/>
        <w:rPr>
          <w:rFonts w:ascii="Arial" w:hAnsi="Arial" w:cs="Arial"/>
          <w:color w:val="17365D"/>
          <w:sz w:val="20"/>
          <w:szCs w:val="20"/>
        </w:rPr>
      </w:pPr>
    </w:p>
    <w:p w14:paraId="262AB76C" w14:textId="1A61439F" w:rsidR="009F09C7" w:rsidRPr="00DA6212" w:rsidRDefault="00DA6212" w:rsidP="00DA6212">
      <w:pPr>
        <w:autoSpaceDE w:val="0"/>
        <w:autoSpaceDN w:val="0"/>
        <w:adjustRightInd w:val="0"/>
        <w:spacing w:before="0" w:after="0"/>
        <w:rPr>
          <w:rFonts w:ascii="Arial" w:eastAsiaTheme="minorHAnsi" w:hAnsi="Arial" w:cs="Arial"/>
          <w:sz w:val="20"/>
          <w:szCs w:val="20"/>
        </w:rPr>
      </w:pPr>
      <w:r>
        <w:rPr>
          <w:rFonts w:ascii="Arial" w:eastAsiaTheme="minorHAnsi" w:hAnsi="Arial" w:cs="Arial"/>
          <w:sz w:val="20"/>
          <w:szCs w:val="20"/>
        </w:rPr>
        <w:t xml:space="preserve">The </w:t>
      </w:r>
      <w:r w:rsidR="00CC0861" w:rsidRPr="00DA6212">
        <w:rPr>
          <w:rFonts w:ascii="Arial" w:eastAsiaTheme="minorHAnsi" w:hAnsi="Arial" w:cs="Arial"/>
          <w:sz w:val="20"/>
          <w:szCs w:val="20"/>
        </w:rPr>
        <w:t xml:space="preserve">2020 actual service units vs. 2019 </w:t>
      </w:r>
      <w:r w:rsidR="002D16A8" w:rsidRPr="00DA6212">
        <w:rPr>
          <w:rFonts w:ascii="Arial" w:eastAsiaTheme="minorHAnsi" w:hAnsi="Arial" w:cs="Arial"/>
          <w:sz w:val="20"/>
          <w:szCs w:val="20"/>
        </w:rPr>
        <w:t>actual service units</w:t>
      </w:r>
      <w:r w:rsidR="00511137">
        <w:rPr>
          <w:rFonts w:ascii="Arial" w:eastAsiaTheme="minorHAnsi" w:hAnsi="Arial" w:cs="Arial"/>
          <w:sz w:val="20"/>
          <w:szCs w:val="20"/>
        </w:rPr>
        <w:t>:</w:t>
      </w:r>
      <w:r w:rsidR="009F09C7" w:rsidRPr="00DA6212">
        <w:rPr>
          <w:rFonts w:ascii="Arial" w:eastAsiaTheme="minorHAnsi" w:hAnsi="Arial" w:cs="Arial"/>
          <w:sz w:val="20"/>
          <w:szCs w:val="20"/>
        </w:rPr>
        <w:t xml:space="preserve"> The pandemic dramatically changed the situation for aviation in Norway during the last year. Even though traffic levels have been higher in Norway than in many other European countries, due to the Norwegian dependence on national air traffic, the reduction in 2020 was 47,5 %. Offshore traffic has not been reduced in the same way as commercial traffic, due to fewer passengers onboard each flight, keeping the amount of movements higher than normal. </w:t>
      </w:r>
    </w:p>
    <w:p w14:paraId="337E2DD8" w14:textId="4FCB60EE" w:rsidR="00CC0861" w:rsidRDefault="00CC0861" w:rsidP="00B4267E">
      <w:pPr>
        <w:pStyle w:val="Default"/>
        <w:jc w:val="both"/>
        <w:rPr>
          <w:rFonts w:ascii="Arial" w:eastAsiaTheme="minorHAnsi" w:hAnsi="Arial" w:cs="Arial"/>
          <w:color w:val="auto"/>
          <w:sz w:val="20"/>
          <w:szCs w:val="20"/>
        </w:rPr>
      </w:pPr>
    </w:p>
    <w:p w14:paraId="73FAA515" w14:textId="25A86C17" w:rsidR="00937E52" w:rsidRDefault="00937E52"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2BF1F185" w14:textId="77777777" w:rsidTr="00225F7F">
        <w:tc>
          <w:tcPr>
            <w:tcW w:w="9242" w:type="dxa"/>
            <w:shd w:val="clear" w:color="auto" w:fill="C6D9F1"/>
          </w:tcPr>
          <w:p w14:paraId="6E25671F" w14:textId="77777777" w:rsidR="00B4267E" w:rsidRPr="00CA5B88" w:rsidRDefault="00B4267E" w:rsidP="00225F7F">
            <w:pPr>
              <w:pStyle w:val="Default"/>
              <w:spacing w:before="60" w:after="60"/>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B</w:t>
            </w:r>
            <w:r w:rsidRPr="005C630C">
              <w:rPr>
                <w:rFonts w:ascii="Arial" w:hAnsi="Arial" w:cs="Arial"/>
                <w:b/>
                <w:color w:val="17365D"/>
                <w:sz w:val="20"/>
                <w:szCs w:val="20"/>
              </w:rPr>
              <w:t>reakdown of the actual costs of common projects per individual project;</w:t>
            </w:r>
          </w:p>
        </w:tc>
      </w:tr>
    </w:tbl>
    <w:p w14:paraId="7BCB4C76" w14:textId="77777777" w:rsidR="00B4267E" w:rsidRDefault="00B4267E" w:rsidP="00B4267E">
      <w:pPr>
        <w:pStyle w:val="Default"/>
        <w:jc w:val="both"/>
        <w:rPr>
          <w:rFonts w:ascii="Arial" w:hAnsi="Arial" w:cs="Arial"/>
          <w:color w:val="17365D"/>
          <w:sz w:val="20"/>
          <w:szCs w:val="20"/>
        </w:rPr>
      </w:pPr>
    </w:p>
    <w:p w14:paraId="109560C9" w14:textId="565BE67B" w:rsidR="00426A37" w:rsidRPr="00DA6212" w:rsidRDefault="001B1D0C" w:rsidP="00B4267E">
      <w:pPr>
        <w:pStyle w:val="Default"/>
        <w:jc w:val="both"/>
        <w:rPr>
          <w:rFonts w:ascii="Arial" w:eastAsiaTheme="minorHAnsi" w:hAnsi="Arial" w:cs="Arial"/>
          <w:color w:val="auto"/>
          <w:sz w:val="20"/>
          <w:szCs w:val="20"/>
        </w:rPr>
      </w:pPr>
      <w:r w:rsidRPr="00DA6212">
        <w:rPr>
          <w:rFonts w:ascii="Arial" w:eastAsiaTheme="minorHAnsi" w:hAnsi="Arial" w:cs="Arial"/>
          <w:color w:val="auto"/>
          <w:sz w:val="20"/>
          <w:szCs w:val="20"/>
        </w:rPr>
        <w:t xml:space="preserve">Not applicable </w:t>
      </w:r>
    </w:p>
    <w:p w14:paraId="40210047" w14:textId="77777777" w:rsidR="00426A37" w:rsidRDefault="00426A37"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57DE15EA" w14:textId="77777777" w:rsidTr="00225F7F">
        <w:tc>
          <w:tcPr>
            <w:tcW w:w="9242" w:type="dxa"/>
            <w:shd w:val="clear" w:color="auto" w:fill="C6D9F1"/>
          </w:tcPr>
          <w:p w14:paraId="765FE4EC" w14:textId="77777777" w:rsidR="00B4267E" w:rsidRPr="00CA5B88" w:rsidRDefault="00B4267E" w:rsidP="00225F7F">
            <w:pPr>
              <w:pStyle w:val="Default"/>
              <w:spacing w:before="60" w:after="60"/>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J</w:t>
            </w:r>
            <w:r w:rsidRPr="005C630C">
              <w:rPr>
                <w:rFonts w:ascii="Arial" w:hAnsi="Arial" w:cs="Arial"/>
                <w:b/>
                <w:color w:val="17365D"/>
                <w:sz w:val="20"/>
                <w:szCs w:val="20"/>
              </w:rPr>
              <w:t>ustification of the difference between the determined and the actual costs of new and existing investments of the air navigation service providers, as well as the difference between the planned and the actual date of entry into operation of the fixed assets financed by those investments for each year of the reference period;</w:t>
            </w:r>
          </w:p>
        </w:tc>
      </w:tr>
    </w:tbl>
    <w:p w14:paraId="77EE3E0C" w14:textId="77777777" w:rsidR="00426A37" w:rsidRDefault="00426A37" w:rsidP="00B4267E">
      <w:pPr>
        <w:pStyle w:val="Default"/>
        <w:jc w:val="both"/>
        <w:rPr>
          <w:rFonts w:ascii="Arial" w:hAnsi="Arial" w:cs="Arial"/>
          <w:color w:val="17365D"/>
          <w:sz w:val="20"/>
          <w:szCs w:val="20"/>
        </w:rPr>
      </w:pPr>
    </w:p>
    <w:p w14:paraId="428EF29B" w14:textId="1C96115C" w:rsidR="00CF3DB7" w:rsidRDefault="002D16A8" w:rsidP="00CF3DB7">
      <w:pPr>
        <w:pStyle w:val="Default"/>
        <w:jc w:val="both"/>
        <w:rPr>
          <w:rFonts w:ascii="Arial" w:eastAsiaTheme="minorHAnsi" w:hAnsi="Arial" w:cs="Arial"/>
          <w:color w:val="auto"/>
          <w:sz w:val="20"/>
          <w:szCs w:val="20"/>
        </w:rPr>
      </w:pPr>
      <w:r w:rsidRPr="00977A44">
        <w:rPr>
          <w:rFonts w:ascii="Arial" w:eastAsiaTheme="minorHAnsi" w:hAnsi="Arial" w:cs="Arial"/>
          <w:color w:val="auto"/>
          <w:sz w:val="20"/>
          <w:szCs w:val="20"/>
        </w:rPr>
        <w:t>In respect of calendar year 2020, this information is to be provided in the annual monitoring report (see section 4 of the RP3 monitoring template).</w:t>
      </w:r>
      <w:r w:rsidR="00CF3DB7" w:rsidRPr="00DA6212">
        <w:rPr>
          <w:rFonts w:ascii="Arial" w:eastAsiaTheme="minorHAnsi" w:hAnsi="Arial" w:cs="Arial"/>
          <w:color w:val="auto"/>
          <w:sz w:val="20"/>
          <w:szCs w:val="20"/>
        </w:rPr>
        <w:t xml:space="preserve"> </w:t>
      </w:r>
    </w:p>
    <w:p w14:paraId="4424A879" w14:textId="77777777" w:rsidR="00977A44" w:rsidRDefault="00977A44" w:rsidP="00CF3DB7">
      <w:pPr>
        <w:pStyle w:val="Default"/>
        <w:jc w:val="both"/>
        <w:rPr>
          <w:rFonts w:ascii="Arial" w:eastAsiaTheme="minorHAnsi" w:hAnsi="Arial" w:cs="Arial"/>
          <w:color w:val="auto"/>
          <w:sz w:val="20"/>
          <w:szCs w:val="20"/>
        </w:rPr>
      </w:pPr>
    </w:p>
    <w:p w14:paraId="1253EBBE" w14:textId="0BF410E6" w:rsidR="00F37F8B" w:rsidRDefault="00FB6A1B" w:rsidP="00CF3DB7">
      <w:pPr>
        <w:pStyle w:val="Default"/>
        <w:jc w:val="both"/>
        <w:rPr>
          <w:rFonts w:ascii="Arial" w:eastAsiaTheme="minorHAnsi" w:hAnsi="Arial" w:cs="Arial"/>
          <w:color w:val="auto"/>
          <w:sz w:val="20"/>
          <w:szCs w:val="20"/>
        </w:rPr>
      </w:pPr>
      <w:r w:rsidRPr="00FB6A1B">
        <w:rPr>
          <w:noProof/>
        </w:rPr>
        <w:drawing>
          <wp:inline distT="0" distB="0" distL="0" distR="0" wp14:anchorId="085EEA0F" wp14:editId="000F2784">
            <wp:extent cx="5759450" cy="3876040"/>
            <wp:effectExtent l="19050" t="19050" r="12700" b="1016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876040"/>
                    </a:xfrm>
                    <a:prstGeom prst="rect">
                      <a:avLst/>
                    </a:prstGeom>
                    <a:noFill/>
                    <a:ln>
                      <a:solidFill>
                        <a:schemeClr val="tx1"/>
                      </a:solidFill>
                    </a:ln>
                  </pic:spPr>
                </pic:pic>
              </a:graphicData>
            </a:graphic>
          </wp:inline>
        </w:drawing>
      </w:r>
    </w:p>
    <w:p w14:paraId="682A4554" w14:textId="77777777" w:rsidR="00B30BE9" w:rsidRPr="00DA6212" w:rsidRDefault="00B30BE9" w:rsidP="00CF3DB7">
      <w:pPr>
        <w:pStyle w:val="Default"/>
        <w:jc w:val="both"/>
        <w:rPr>
          <w:rFonts w:ascii="Arial" w:eastAsiaTheme="minorHAnsi" w:hAnsi="Arial" w:cs="Arial"/>
          <w:color w:val="auto"/>
          <w:sz w:val="20"/>
          <w:szCs w:val="20"/>
        </w:rPr>
      </w:pPr>
    </w:p>
    <w:p w14:paraId="2A20F358" w14:textId="77777777"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0517888E" w14:textId="77777777" w:rsidTr="00225F7F">
        <w:tc>
          <w:tcPr>
            <w:tcW w:w="9242" w:type="dxa"/>
            <w:shd w:val="clear" w:color="auto" w:fill="C6D9F1"/>
          </w:tcPr>
          <w:p w14:paraId="4D244FD5" w14:textId="77777777" w:rsidR="00B4267E" w:rsidRPr="00CA5B88" w:rsidRDefault="00B4267E" w:rsidP="00711220">
            <w:pPr>
              <w:pStyle w:val="Default"/>
              <w:spacing w:before="60" w:after="60"/>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w:t>
            </w:r>
            <w:r>
              <w:rPr>
                <w:rFonts w:ascii="Arial" w:hAnsi="Arial" w:cs="Arial"/>
                <w:b/>
                <w:color w:val="17365D"/>
                <w:sz w:val="20"/>
                <w:szCs w:val="20"/>
              </w:rPr>
              <w:t xml:space="preserve"> D</w:t>
            </w:r>
            <w:r w:rsidRPr="005C630C">
              <w:rPr>
                <w:rFonts w:ascii="Arial" w:hAnsi="Arial" w:cs="Arial"/>
                <w:b/>
                <w:color w:val="17365D"/>
                <w:sz w:val="20"/>
                <w:szCs w:val="20"/>
              </w:rPr>
              <w:t>escription of the investment projects added, cancelled or replaced during the reference period with respect to the major investment projects identified in the performance plan, and approved by the national supervisory authority in accordance with Article 28(4)</w:t>
            </w:r>
            <w:r>
              <w:rPr>
                <w:rFonts w:ascii="Arial" w:hAnsi="Arial" w:cs="Arial"/>
                <w:b/>
                <w:color w:val="17365D"/>
                <w:sz w:val="20"/>
                <w:szCs w:val="20"/>
              </w:rPr>
              <w:t>.</w:t>
            </w:r>
          </w:p>
        </w:tc>
      </w:tr>
    </w:tbl>
    <w:p w14:paraId="72DE71D2" w14:textId="77777777" w:rsidR="00B4267E" w:rsidRDefault="00B4267E" w:rsidP="00B4267E">
      <w:pPr>
        <w:pStyle w:val="Default"/>
        <w:jc w:val="both"/>
        <w:rPr>
          <w:rFonts w:ascii="Arial" w:hAnsi="Arial" w:cs="Arial"/>
          <w:color w:val="17365D"/>
          <w:sz w:val="20"/>
          <w:szCs w:val="20"/>
        </w:rPr>
      </w:pPr>
    </w:p>
    <w:p w14:paraId="6549D4E3" w14:textId="177A8A33" w:rsidR="00B35DF6" w:rsidRDefault="00682D4D" w:rsidP="00B4267E">
      <w:pPr>
        <w:pStyle w:val="Default"/>
        <w:jc w:val="both"/>
        <w:rPr>
          <w:rFonts w:ascii="Arial" w:eastAsiaTheme="minorHAnsi" w:hAnsi="Arial" w:cs="Arial"/>
          <w:color w:val="auto"/>
          <w:sz w:val="20"/>
          <w:szCs w:val="20"/>
        </w:rPr>
      </w:pPr>
      <w:r w:rsidRPr="00977A44">
        <w:rPr>
          <w:rFonts w:ascii="Arial" w:eastAsiaTheme="minorHAnsi" w:hAnsi="Arial" w:cs="Arial"/>
          <w:color w:val="auto"/>
          <w:sz w:val="20"/>
          <w:szCs w:val="20"/>
        </w:rPr>
        <w:t>In respect of calendar year 2020, this information is to be provided in the annual monitoring report (see section 4 of the RP3 monitoring template).</w:t>
      </w:r>
    </w:p>
    <w:p w14:paraId="53147A01" w14:textId="0FB7659F" w:rsidR="00FB6A1B" w:rsidRDefault="00FB6A1B" w:rsidP="00B4267E">
      <w:pPr>
        <w:pStyle w:val="Default"/>
        <w:jc w:val="both"/>
        <w:rPr>
          <w:rFonts w:ascii="Arial" w:eastAsiaTheme="minorHAnsi" w:hAnsi="Arial" w:cs="Arial"/>
          <w:color w:val="auto"/>
          <w:sz w:val="20"/>
          <w:szCs w:val="20"/>
        </w:rPr>
      </w:pPr>
    </w:p>
    <w:p w14:paraId="09C25085" w14:textId="0AA1347B" w:rsidR="00FB6A1B" w:rsidRPr="00CC6106" w:rsidRDefault="00FB6A1B" w:rsidP="00B4267E">
      <w:pPr>
        <w:pStyle w:val="Default"/>
        <w:jc w:val="both"/>
        <w:rPr>
          <w:rFonts w:ascii="Arial" w:eastAsiaTheme="minorHAnsi" w:hAnsi="Arial" w:cs="Arial"/>
          <w:b/>
          <w:bCs/>
          <w:color w:val="auto"/>
          <w:sz w:val="20"/>
          <w:szCs w:val="20"/>
        </w:rPr>
      </w:pPr>
      <w:r w:rsidRPr="00CC6106">
        <w:rPr>
          <w:rFonts w:ascii="Arial" w:eastAsiaTheme="minorHAnsi" w:hAnsi="Arial" w:cs="Arial"/>
          <w:b/>
          <w:bCs/>
          <w:color w:val="auto"/>
          <w:sz w:val="20"/>
          <w:szCs w:val="20"/>
        </w:rPr>
        <w:t>Draft PP RP3 (November 2019)</w:t>
      </w:r>
    </w:p>
    <w:p w14:paraId="6E37FB31" w14:textId="6CF0C36E" w:rsidR="00FB6A1B" w:rsidRDefault="00FB6A1B" w:rsidP="00B4267E">
      <w:pPr>
        <w:pStyle w:val="Default"/>
        <w:jc w:val="both"/>
        <w:rPr>
          <w:rFonts w:ascii="Arial" w:eastAsiaTheme="minorHAnsi" w:hAnsi="Arial" w:cs="Arial"/>
          <w:color w:val="auto"/>
          <w:sz w:val="20"/>
          <w:szCs w:val="20"/>
        </w:rPr>
      </w:pPr>
      <w:r w:rsidRPr="00FB6A1B">
        <w:rPr>
          <w:noProof/>
        </w:rPr>
        <w:drawing>
          <wp:inline distT="0" distB="0" distL="0" distR="0" wp14:anchorId="2BEC57D1" wp14:editId="0932E1DA">
            <wp:extent cx="5759450" cy="1216660"/>
            <wp:effectExtent l="19050" t="19050" r="12700" b="215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216660"/>
                    </a:xfrm>
                    <a:prstGeom prst="rect">
                      <a:avLst/>
                    </a:prstGeom>
                    <a:noFill/>
                    <a:ln>
                      <a:solidFill>
                        <a:schemeClr val="tx1"/>
                      </a:solidFill>
                    </a:ln>
                  </pic:spPr>
                </pic:pic>
              </a:graphicData>
            </a:graphic>
          </wp:inline>
        </w:drawing>
      </w:r>
    </w:p>
    <w:p w14:paraId="188AB149" w14:textId="6794D819" w:rsidR="00FB6A1B" w:rsidRDefault="00FB6A1B">
      <w:pPr>
        <w:spacing w:before="0" w:after="200" w:line="276" w:lineRule="auto"/>
        <w:jc w:val="left"/>
        <w:rPr>
          <w:rFonts w:ascii="Arial" w:eastAsiaTheme="minorHAnsi" w:hAnsi="Arial" w:cs="Arial"/>
          <w:sz w:val="20"/>
          <w:szCs w:val="20"/>
        </w:rPr>
      </w:pPr>
      <w:r>
        <w:rPr>
          <w:rFonts w:ascii="Arial" w:eastAsiaTheme="minorHAnsi" w:hAnsi="Arial" w:cs="Arial"/>
          <w:sz w:val="20"/>
          <w:szCs w:val="20"/>
        </w:rPr>
        <w:br w:type="page"/>
      </w:r>
    </w:p>
    <w:p w14:paraId="54333124" w14:textId="4D6010AF" w:rsidR="00FB6A1B" w:rsidRPr="00CC6106" w:rsidRDefault="00FB6A1B" w:rsidP="00B4267E">
      <w:pPr>
        <w:pStyle w:val="Default"/>
        <w:jc w:val="both"/>
        <w:rPr>
          <w:rFonts w:ascii="Arial" w:eastAsiaTheme="minorHAnsi" w:hAnsi="Arial" w:cs="Arial"/>
          <w:b/>
          <w:bCs/>
          <w:color w:val="auto"/>
          <w:sz w:val="20"/>
          <w:szCs w:val="20"/>
          <w:lang w:val="nb-NO"/>
        </w:rPr>
      </w:pPr>
      <w:proofErr w:type="spellStart"/>
      <w:r w:rsidRPr="00CC6106">
        <w:rPr>
          <w:rFonts w:ascii="Arial" w:eastAsiaTheme="minorHAnsi" w:hAnsi="Arial" w:cs="Arial"/>
          <w:b/>
          <w:bCs/>
          <w:color w:val="auto"/>
          <w:sz w:val="20"/>
          <w:szCs w:val="20"/>
          <w:lang w:val="nb-NO"/>
        </w:rPr>
        <w:lastRenderedPageBreak/>
        <w:t>Revised</w:t>
      </w:r>
      <w:proofErr w:type="spellEnd"/>
      <w:r w:rsidRPr="00CC6106">
        <w:rPr>
          <w:rFonts w:ascii="Arial" w:eastAsiaTheme="minorHAnsi" w:hAnsi="Arial" w:cs="Arial"/>
          <w:b/>
          <w:bCs/>
          <w:color w:val="auto"/>
          <w:sz w:val="20"/>
          <w:szCs w:val="20"/>
          <w:lang w:val="nb-NO"/>
        </w:rPr>
        <w:t xml:space="preserve"> draft PP RP3 (September 2021)</w:t>
      </w:r>
    </w:p>
    <w:p w14:paraId="1E5A1772" w14:textId="234BF26F" w:rsidR="00B35DF6" w:rsidRDefault="00A60496">
      <w:pPr>
        <w:spacing w:before="0" w:after="200" w:line="276" w:lineRule="auto"/>
        <w:jc w:val="left"/>
        <w:rPr>
          <w:rFonts w:ascii="Arial" w:eastAsiaTheme="minorHAnsi" w:hAnsi="Arial" w:cs="Arial"/>
          <w:sz w:val="20"/>
          <w:szCs w:val="20"/>
        </w:rPr>
      </w:pPr>
      <w:r w:rsidRPr="00A60496">
        <w:rPr>
          <w:rFonts w:eastAsiaTheme="minorHAnsi"/>
          <w:noProof/>
        </w:rPr>
        <w:drawing>
          <wp:inline distT="0" distB="0" distL="0" distR="0" wp14:anchorId="5C531324" wp14:editId="3FEDAB41">
            <wp:extent cx="5759450" cy="1196975"/>
            <wp:effectExtent l="19050" t="19050" r="12700" b="222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196975"/>
                    </a:xfrm>
                    <a:prstGeom prst="rect">
                      <a:avLst/>
                    </a:prstGeom>
                    <a:noFill/>
                    <a:ln>
                      <a:solidFill>
                        <a:schemeClr val="tx1"/>
                      </a:solidFill>
                    </a:ln>
                  </pic:spPr>
                </pic:pic>
              </a:graphicData>
            </a:graphic>
          </wp:inline>
        </w:drawing>
      </w:r>
      <w:r w:rsidR="00B35DF6">
        <w:rPr>
          <w:rFonts w:ascii="Arial" w:eastAsiaTheme="minorHAnsi"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EC40E2" w14:paraId="506A3A11" w14:textId="77777777" w:rsidTr="00B35DF6">
        <w:trPr>
          <w:trHeight w:val="396"/>
          <w:jc w:val="center"/>
        </w:trPr>
        <w:tc>
          <w:tcPr>
            <w:tcW w:w="9060" w:type="dxa"/>
            <w:shd w:val="clear" w:color="auto" w:fill="92D050"/>
            <w:vAlign w:val="center"/>
          </w:tcPr>
          <w:p w14:paraId="6A9E27D0" w14:textId="77777777"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lastRenderedPageBreak/>
              <w:t>ADDITIONAL INFORMATION</w:t>
            </w:r>
            <w:r>
              <w:rPr>
                <w:rFonts w:ascii="Arial" w:hAnsi="Arial" w:cs="Arial"/>
                <w:b/>
                <w:color w:val="17365D"/>
                <w:sz w:val="20"/>
                <w:szCs w:val="20"/>
              </w:rPr>
              <w:t xml:space="preserve"> TO REPORTING TABLES 2</w:t>
            </w:r>
            <w:r w:rsidRPr="00EC40E2">
              <w:rPr>
                <w:rFonts w:ascii="Arial" w:hAnsi="Arial" w:cs="Arial"/>
                <w:b/>
                <w:color w:val="17365D"/>
                <w:sz w:val="20"/>
                <w:szCs w:val="20"/>
              </w:rPr>
              <w:t xml:space="preserve"> –</w:t>
            </w:r>
            <w:r>
              <w:rPr>
                <w:rFonts w:ascii="Arial" w:hAnsi="Arial" w:cs="Arial"/>
                <w:b/>
                <w:color w:val="17365D"/>
                <w:sz w:val="20"/>
                <w:szCs w:val="20"/>
              </w:rPr>
              <w:t xml:space="preserve"> UNIT RATE CALCULATION</w:t>
            </w:r>
          </w:p>
        </w:tc>
      </w:tr>
    </w:tbl>
    <w:p w14:paraId="16428069" w14:textId="77777777" w:rsidR="001F08BE" w:rsidRDefault="001F08BE" w:rsidP="001F08BE">
      <w:pPr>
        <w:pStyle w:val="Default"/>
        <w:jc w:val="both"/>
        <w:rPr>
          <w:rFonts w:ascii="Arial" w:hAnsi="Arial" w:cs="Arial"/>
          <w:color w:val="17365D"/>
          <w:sz w:val="20"/>
          <w:szCs w:val="20"/>
        </w:rPr>
      </w:pPr>
    </w:p>
    <w:p w14:paraId="1044F4A5"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3FEBCA63" w14:textId="77777777" w:rsidTr="001F08BE">
        <w:tc>
          <w:tcPr>
            <w:tcW w:w="9242" w:type="dxa"/>
            <w:shd w:val="clear" w:color="auto" w:fill="92D050"/>
          </w:tcPr>
          <w:p w14:paraId="406A0FC5" w14:textId="77777777" w:rsidR="001F08BE" w:rsidRPr="00CA5B88" w:rsidRDefault="001F08BE" w:rsidP="001F08BE">
            <w:pPr>
              <w:pStyle w:val="Default"/>
              <w:spacing w:before="60" w:after="60"/>
              <w:rPr>
                <w:rFonts w:ascii="Arial" w:hAnsi="Arial" w:cs="Arial"/>
                <w:b/>
                <w:color w:val="17365D"/>
                <w:sz w:val="20"/>
                <w:szCs w:val="20"/>
              </w:rPr>
            </w:pPr>
            <w:r>
              <w:rPr>
                <w:rFonts w:ascii="Arial" w:hAnsi="Arial" w:cs="Arial"/>
                <w:b/>
                <w:color w:val="17365D"/>
                <w:sz w:val="20"/>
                <w:szCs w:val="20"/>
              </w:rPr>
              <w:t>a) D</w:t>
            </w:r>
            <w:r w:rsidRPr="001F08BE">
              <w:rPr>
                <w:rFonts w:ascii="Arial" w:hAnsi="Arial" w:cs="Arial"/>
                <w:b/>
                <w:color w:val="17365D"/>
                <w:sz w:val="20"/>
                <w:szCs w:val="20"/>
              </w:rPr>
              <w:t>escription and rationale for establishment of the different charging zones, in particular with regard to terminal charging zones and potential cross-subsidies between charging zones;</w:t>
            </w:r>
          </w:p>
        </w:tc>
      </w:tr>
    </w:tbl>
    <w:p w14:paraId="53C01F4A" w14:textId="77777777" w:rsidR="001F08BE" w:rsidRDefault="001F08BE" w:rsidP="001F08BE">
      <w:pPr>
        <w:pStyle w:val="Default"/>
        <w:jc w:val="both"/>
        <w:rPr>
          <w:rFonts w:ascii="Arial" w:hAnsi="Arial" w:cs="Arial"/>
          <w:color w:val="17365D"/>
          <w:sz w:val="20"/>
          <w:szCs w:val="20"/>
        </w:rPr>
      </w:pPr>
    </w:p>
    <w:p w14:paraId="3CFC11F0" w14:textId="01422D7C" w:rsidR="007063B7" w:rsidRPr="0056071D" w:rsidRDefault="001B1D0C" w:rsidP="001F08BE">
      <w:pPr>
        <w:pStyle w:val="Default"/>
        <w:jc w:val="both"/>
        <w:rPr>
          <w:rFonts w:ascii="Arial" w:hAnsi="Arial" w:cs="Arial"/>
          <w:color w:val="auto"/>
          <w:sz w:val="20"/>
          <w:szCs w:val="20"/>
        </w:rPr>
      </w:pPr>
      <w:r w:rsidRPr="001415EC">
        <w:rPr>
          <w:rFonts w:ascii="Arial" w:hAnsi="Arial" w:cs="Arial"/>
          <w:sz w:val="20"/>
          <w:szCs w:val="20"/>
        </w:rPr>
        <w:t xml:space="preserve">Norway has one common charging zone for TNC within the scope of </w:t>
      </w:r>
      <w:r w:rsidR="00511137">
        <w:rPr>
          <w:rFonts w:ascii="Arial" w:hAnsi="Arial" w:cs="Arial"/>
          <w:sz w:val="20"/>
          <w:szCs w:val="20"/>
        </w:rPr>
        <w:t>regulation</w:t>
      </w:r>
      <w:r w:rsidRPr="0056071D">
        <w:rPr>
          <w:rFonts w:ascii="Arial" w:hAnsi="Arial" w:cs="Arial"/>
          <w:sz w:val="20"/>
          <w:szCs w:val="20"/>
        </w:rPr>
        <w:t xml:space="preserve"> (EU) 2019/317</w:t>
      </w:r>
      <w:r w:rsidRPr="0056071D">
        <w:rPr>
          <w:rFonts w:ascii="EUAlbertina" w:eastAsiaTheme="minorHAnsi" w:hAnsi="EUAlbertina" w:cs="EUAlbertina"/>
          <w:b/>
          <w:bCs/>
          <w:sz w:val="19"/>
          <w:szCs w:val="19"/>
        </w:rPr>
        <w:t xml:space="preserve"> </w:t>
      </w:r>
      <w:r w:rsidRPr="0056071D">
        <w:rPr>
          <w:rFonts w:ascii="Arial" w:hAnsi="Arial" w:cs="Arial"/>
          <w:sz w:val="20"/>
          <w:szCs w:val="20"/>
        </w:rPr>
        <w:t xml:space="preserve">– consisting of 4 </w:t>
      </w:r>
      <w:r w:rsidRPr="0056071D">
        <w:rPr>
          <w:rFonts w:ascii="Arial" w:hAnsi="Arial" w:cs="Arial"/>
          <w:color w:val="auto"/>
          <w:sz w:val="20"/>
          <w:szCs w:val="20"/>
        </w:rPr>
        <w:t>airports Oslo (ENGM), Bergen (ENBR), Stavanger (ENZV) and Trondheim (ENVA).</w:t>
      </w:r>
    </w:p>
    <w:p w14:paraId="62D7A2F2" w14:textId="77777777" w:rsidR="00B35DF6" w:rsidRPr="0056071D" w:rsidRDefault="00B35DF6"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124284C" w14:textId="77777777" w:rsidTr="002D6CCF">
        <w:tc>
          <w:tcPr>
            <w:tcW w:w="9242" w:type="dxa"/>
            <w:shd w:val="clear" w:color="auto" w:fill="92D050"/>
          </w:tcPr>
          <w:p w14:paraId="2D48E91F"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policy on exemptions and description of the financing means to cover the rel</w:t>
            </w:r>
            <w:r>
              <w:rPr>
                <w:rFonts w:ascii="Arial" w:hAnsi="Arial" w:cs="Arial"/>
                <w:b/>
                <w:color w:val="17365D"/>
                <w:sz w:val="20"/>
                <w:szCs w:val="20"/>
              </w:rPr>
              <w:t>ated costs</w:t>
            </w:r>
            <w:r w:rsidRPr="00556F7D">
              <w:rPr>
                <w:rFonts w:ascii="Arial" w:hAnsi="Arial" w:cs="Arial"/>
                <w:b/>
                <w:color w:val="17365D"/>
                <w:sz w:val="20"/>
                <w:szCs w:val="20"/>
              </w:rPr>
              <w:t>;</w:t>
            </w:r>
          </w:p>
        </w:tc>
      </w:tr>
    </w:tbl>
    <w:p w14:paraId="7CE28DE2" w14:textId="07D697D3" w:rsidR="00682D4D" w:rsidRDefault="00682D4D" w:rsidP="00F424DF">
      <w:pPr>
        <w:pStyle w:val="Default"/>
        <w:jc w:val="both"/>
        <w:rPr>
          <w:rFonts w:ascii="Arial" w:hAnsi="Arial" w:cs="Arial"/>
          <w:color w:val="17365D"/>
          <w:sz w:val="20"/>
          <w:szCs w:val="20"/>
        </w:rPr>
      </w:pPr>
    </w:p>
    <w:p w14:paraId="7E178DBF" w14:textId="32B1C5FB" w:rsidR="00682D4D" w:rsidRPr="0056319C" w:rsidRDefault="0056319C" w:rsidP="00682D4D">
      <w:pPr>
        <w:pStyle w:val="Default"/>
        <w:rPr>
          <w:rFonts w:ascii="Arial" w:hAnsi="Arial" w:cs="Arial"/>
          <w:color w:val="auto"/>
          <w:sz w:val="20"/>
          <w:szCs w:val="20"/>
        </w:rPr>
      </w:pPr>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2020.</w:t>
      </w:r>
    </w:p>
    <w:p w14:paraId="08B82D97" w14:textId="77777777" w:rsidR="0056319C" w:rsidRPr="0056319C" w:rsidRDefault="0056319C" w:rsidP="00682D4D">
      <w:pPr>
        <w:pStyle w:val="Default"/>
        <w:rPr>
          <w:rFonts w:ascii="Arial" w:hAnsi="Arial" w:cs="Arial"/>
          <w:color w:val="auto"/>
          <w:sz w:val="20"/>
          <w:szCs w:val="20"/>
        </w:rPr>
      </w:pPr>
      <w:bookmarkStart w:id="1" w:name="_Hlk73522009"/>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6319C" w:rsidRPr="0056319C" w14:paraId="77266F1D" w14:textId="77777777" w:rsidTr="00581C1F">
        <w:tc>
          <w:tcPr>
            <w:tcW w:w="3857" w:type="dxa"/>
            <w:shd w:val="clear" w:color="auto" w:fill="auto"/>
            <w:vAlign w:val="bottom"/>
          </w:tcPr>
          <w:p w14:paraId="58903C52" w14:textId="77777777" w:rsidR="0056319C" w:rsidRPr="0056319C" w:rsidRDefault="0056319C" w:rsidP="009F3D90">
            <w:pPr>
              <w:spacing w:before="40" w:after="40"/>
              <w:jc w:val="center"/>
              <w:rPr>
                <w:rFonts w:ascii="Calibri" w:hAnsi="Calibri" w:cs="Calibri"/>
                <w:b/>
                <w:sz w:val="18"/>
                <w:szCs w:val="18"/>
              </w:rPr>
            </w:pPr>
          </w:p>
        </w:tc>
        <w:tc>
          <w:tcPr>
            <w:tcW w:w="4961" w:type="dxa"/>
          </w:tcPr>
          <w:p w14:paraId="3066E9DC" w14:textId="2A19A826" w:rsidR="0056319C" w:rsidRPr="0056319C" w:rsidRDefault="0056319C" w:rsidP="009F3D90">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w:t>
            </w:r>
            <w:r>
              <w:rPr>
                <w:rFonts w:ascii="Arial" w:hAnsi="Arial" w:cs="Arial"/>
                <w:b/>
                <w:color w:val="auto"/>
                <w:sz w:val="18"/>
                <w:szCs w:val="18"/>
              </w:rPr>
              <w:t>0</w:t>
            </w:r>
          </w:p>
        </w:tc>
      </w:tr>
      <w:tr w:rsidR="0056319C" w:rsidRPr="0056319C" w14:paraId="6D06F0B9" w14:textId="77777777" w:rsidTr="00581C1F">
        <w:tc>
          <w:tcPr>
            <w:tcW w:w="3857" w:type="dxa"/>
            <w:shd w:val="clear" w:color="auto" w:fill="auto"/>
            <w:vAlign w:val="bottom"/>
          </w:tcPr>
          <w:p w14:paraId="1881B5B5"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43249222" w14:textId="4EF94404" w:rsidR="0056319C" w:rsidRPr="00DA6212" w:rsidRDefault="009E099D" w:rsidP="003831F2">
            <w:pPr>
              <w:spacing w:before="0" w:after="0"/>
              <w:rPr>
                <w:rFonts w:ascii="Calibri" w:hAnsi="Calibri"/>
                <w:color w:val="000000"/>
                <w:sz w:val="18"/>
                <w:szCs w:val="18"/>
              </w:rPr>
            </w:pPr>
            <w:r w:rsidRPr="00977A44">
              <w:rPr>
                <w:rFonts w:ascii="Arial" w:eastAsia="Calibri" w:hAnsi="Arial" w:cs="Arial"/>
                <w:sz w:val="18"/>
                <w:szCs w:val="18"/>
              </w:rPr>
              <w:t>1 027 KNOK</w:t>
            </w:r>
          </w:p>
        </w:tc>
      </w:tr>
      <w:tr w:rsidR="0056319C" w:rsidRPr="0056319C" w14:paraId="1C206168" w14:textId="77777777" w:rsidTr="00581C1F">
        <w:trPr>
          <w:trHeight w:val="204"/>
        </w:trPr>
        <w:tc>
          <w:tcPr>
            <w:tcW w:w="3857" w:type="dxa"/>
            <w:shd w:val="clear" w:color="auto" w:fill="auto"/>
            <w:vAlign w:val="bottom"/>
          </w:tcPr>
          <w:p w14:paraId="3E4DE943"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4DFA7326" w14:textId="508376D6" w:rsidR="0056319C" w:rsidRPr="00CF72BD" w:rsidRDefault="0056319C" w:rsidP="009F3D90">
            <w:pPr>
              <w:spacing w:before="40" w:after="40"/>
              <w:jc w:val="left"/>
              <w:rPr>
                <w:rFonts w:ascii="Calibri" w:hAnsi="Calibri" w:cs="Calibri"/>
                <w:sz w:val="18"/>
                <w:szCs w:val="18"/>
                <w:highlight w:val="yellow"/>
              </w:rPr>
            </w:pPr>
          </w:p>
        </w:tc>
      </w:tr>
      <w:tr w:rsidR="0056319C" w:rsidRPr="0056319C" w14:paraId="071878C6" w14:textId="77777777" w:rsidTr="00581C1F">
        <w:tc>
          <w:tcPr>
            <w:tcW w:w="3857" w:type="dxa"/>
            <w:shd w:val="clear" w:color="auto" w:fill="auto"/>
            <w:vAlign w:val="bottom"/>
          </w:tcPr>
          <w:p w14:paraId="21459C23" w14:textId="77777777" w:rsidR="0056319C" w:rsidRPr="0056319C" w:rsidRDefault="0056319C" w:rsidP="009F3D90">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0683BDE4" w14:textId="60A25E7A" w:rsidR="0056319C" w:rsidRPr="00977A44" w:rsidRDefault="003831F2" w:rsidP="00977A44">
            <w:pPr>
              <w:spacing w:before="0" w:after="0"/>
              <w:rPr>
                <w:rFonts w:ascii="Arial" w:eastAsia="Calibri" w:hAnsi="Arial" w:cs="Arial"/>
                <w:sz w:val="18"/>
                <w:szCs w:val="18"/>
              </w:rPr>
            </w:pPr>
            <w:r w:rsidRPr="00977A44">
              <w:rPr>
                <w:rFonts w:ascii="Arial" w:eastAsia="Calibri" w:hAnsi="Arial" w:cs="Arial"/>
                <w:sz w:val="18"/>
                <w:szCs w:val="18"/>
              </w:rPr>
              <w:t>1</w:t>
            </w:r>
            <w:r w:rsidR="00E9129A" w:rsidRPr="00977A44">
              <w:rPr>
                <w:rFonts w:ascii="Arial" w:eastAsia="Calibri" w:hAnsi="Arial" w:cs="Arial"/>
                <w:sz w:val="18"/>
                <w:szCs w:val="18"/>
              </w:rPr>
              <w:t> </w:t>
            </w:r>
            <w:r w:rsidRPr="00977A44">
              <w:rPr>
                <w:rFonts w:ascii="Arial" w:eastAsia="Calibri" w:hAnsi="Arial" w:cs="Arial"/>
                <w:sz w:val="18"/>
                <w:szCs w:val="18"/>
              </w:rPr>
              <w:t>027</w:t>
            </w:r>
            <w:r w:rsidR="00E9129A" w:rsidRPr="00977A44">
              <w:rPr>
                <w:rFonts w:ascii="Arial" w:eastAsia="Calibri" w:hAnsi="Arial" w:cs="Arial"/>
                <w:sz w:val="18"/>
                <w:szCs w:val="18"/>
              </w:rPr>
              <w:t xml:space="preserve"> KNOK</w:t>
            </w:r>
          </w:p>
        </w:tc>
      </w:tr>
    </w:tbl>
    <w:p w14:paraId="7DEA20F2" w14:textId="77777777" w:rsidR="00682D4D" w:rsidRPr="0056319C" w:rsidRDefault="00682D4D" w:rsidP="00682D4D">
      <w:pPr>
        <w:pStyle w:val="Default"/>
        <w:rPr>
          <w:rFonts w:ascii="Arial" w:hAnsi="Arial" w:cs="Arial"/>
          <w:color w:val="auto"/>
          <w:sz w:val="20"/>
          <w:szCs w:val="20"/>
        </w:rPr>
      </w:pPr>
    </w:p>
    <w:bookmarkEnd w:id="1"/>
    <w:p w14:paraId="4E8B2E54" w14:textId="3872DD03" w:rsidR="00682D4D" w:rsidRPr="0056319C" w:rsidRDefault="0056319C" w:rsidP="00682D4D">
      <w:pPr>
        <w:pStyle w:val="Default"/>
        <w:jc w:val="both"/>
        <w:rPr>
          <w:rFonts w:ascii="Arial" w:hAnsi="Arial" w:cs="Arial"/>
          <w:color w:val="auto"/>
          <w:sz w:val="20"/>
          <w:szCs w:val="20"/>
        </w:rPr>
      </w:pPr>
      <w:r w:rsidRPr="0056319C">
        <w:rPr>
          <w:rFonts w:ascii="Arial" w:hAnsi="Arial" w:cs="Arial"/>
          <w:color w:val="auto"/>
          <w:sz w:val="20"/>
          <w:szCs w:val="20"/>
        </w:rPr>
        <w:t xml:space="preserve">Description of the financing means covering the </w:t>
      </w:r>
      <w:r w:rsidR="00682D4D" w:rsidRPr="0056319C">
        <w:rPr>
          <w:rFonts w:ascii="Arial" w:hAnsi="Arial" w:cs="Arial"/>
          <w:color w:val="auto"/>
          <w:sz w:val="20"/>
          <w:szCs w:val="20"/>
        </w:rPr>
        <w:t>costs incurred for services provided to exempted flights in 2020</w:t>
      </w:r>
      <w:r w:rsidR="00511137">
        <w:rPr>
          <w:rFonts w:ascii="Arial" w:hAnsi="Arial" w:cs="Arial"/>
          <w:color w:val="auto"/>
          <w:sz w:val="20"/>
          <w:szCs w:val="20"/>
        </w:rPr>
        <w:t>:</w:t>
      </w:r>
      <w:r w:rsidR="00682D4D" w:rsidRPr="0056319C">
        <w:rPr>
          <w:rFonts w:ascii="Arial" w:hAnsi="Arial" w:cs="Arial"/>
          <w:color w:val="auto"/>
          <w:sz w:val="20"/>
          <w:szCs w:val="20"/>
        </w:rPr>
        <w:t xml:space="preserve"> </w:t>
      </w:r>
    </w:p>
    <w:p w14:paraId="51990E32" w14:textId="77777777" w:rsidR="00E9129A" w:rsidRDefault="00E9129A" w:rsidP="00E9129A">
      <w:pPr>
        <w:pStyle w:val="Default"/>
        <w:jc w:val="both"/>
        <w:rPr>
          <w:rFonts w:ascii="Arial" w:eastAsia="Times New Roman" w:hAnsi="Arial" w:cs="Arial"/>
          <w:color w:val="auto"/>
          <w:spacing w:val="-2"/>
          <w:sz w:val="20"/>
          <w:szCs w:val="20"/>
        </w:rPr>
      </w:pPr>
    </w:p>
    <w:p w14:paraId="450A5412" w14:textId="55F921F8" w:rsidR="00E9129A" w:rsidRPr="00024404" w:rsidRDefault="00E9129A" w:rsidP="00E9129A">
      <w:pPr>
        <w:pStyle w:val="Default"/>
        <w:jc w:val="both"/>
        <w:rPr>
          <w:rFonts w:ascii="Arial" w:eastAsia="Times New Roman" w:hAnsi="Arial" w:cs="Arial"/>
          <w:color w:val="auto"/>
          <w:spacing w:val="-2"/>
          <w:sz w:val="20"/>
          <w:szCs w:val="20"/>
        </w:rPr>
      </w:pPr>
      <w:r w:rsidRPr="00024404">
        <w:rPr>
          <w:rFonts w:ascii="Arial" w:eastAsia="Times New Roman" w:hAnsi="Arial" w:cs="Arial"/>
          <w:color w:val="auto"/>
          <w:spacing w:val="-2"/>
          <w:sz w:val="20"/>
          <w:szCs w:val="20"/>
        </w:rPr>
        <w:t>Exempted flights are specific dignitary flights, flights by aircraft less than 2 tones, SAR, calibration flights, circular flights, VFR and humanitarian flights.</w:t>
      </w:r>
    </w:p>
    <w:p w14:paraId="74C1ACAD" w14:textId="77777777" w:rsidR="00E9129A" w:rsidRPr="0056319C" w:rsidRDefault="00E9129A" w:rsidP="00682D4D">
      <w:pPr>
        <w:pStyle w:val="Default"/>
        <w:jc w:val="both"/>
        <w:rPr>
          <w:rFonts w:ascii="Arial" w:hAnsi="Arial" w:cs="Arial"/>
          <w:color w:val="auto"/>
          <w:sz w:val="20"/>
          <w:szCs w:val="20"/>
        </w:rPr>
      </w:pPr>
    </w:p>
    <w:p w14:paraId="5FAB53FC" w14:textId="2995A01F" w:rsidR="0056319C" w:rsidRPr="0056319C" w:rsidRDefault="00E9129A" w:rsidP="0056319C">
      <w:pPr>
        <w:pStyle w:val="Default"/>
        <w:jc w:val="both"/>
        <w:rPr>
          <w:rFonts w:ascii="Arial" w:hAnsi="Arial" w:cs="Arial"/>
          <w:color w:val="auto"/>
          <w:sz w:val="20"/>
          <w:szCs w:val="20"/>
        </w:rPr>
      </w:pPr>
      <w:r>
        <w:rPr>
          <w:rFonts w:ascii="Arial" w:hAnsi="Arial" w:cs="Arial"/>
          <w:color w:val="auto"/>
          <w:sz w:val="20"/>
          <w:szCs w:val="20"/>
        </w:rPr>
        <w:t>Exempted c</w:t>
      </w:r>
      <w:r w:rsidR="003831F2">
        <w:rPr>
          <w:rFonts w:ascii="Arial" w:hAnsi="Arial" w:cs="Arial"/>
          <w:color w:val="auto"/>
          <w:sz w:val="20"/>
          <w:szCs w:val="20"/>
        </w:rPr>
        <w:t>ost</w:t>
      </w:r>
      <w:r>
        <w:rPr>
          <w:rFonts w:ascii="Arial" w:hAnsi="Arial" w:cs="Arial"/>
          <w:color w:val="auto"/>
          <w:sz w:val="20"/>
          <w:szCs w:val="20"/>
        </w:rPr>
        <w:t>s are</w:t>
      </w:r>
      <w:r w:rsidR="003831F2">
        <w:rPr>
          <w:rFonts w:ascii="Arial" w:hAnsi="Arial" w:cs="Arial"/>
          <w:color w:val="auto"/>
          <w:sz w:val="20"/>
          <w:szCs w:val="20"/>
        </w:rPr>
        <w:t xml:space="preserve"> covered by commercial revenues and owner funding. </w:t>
      </w:r>
    </w:p>
    <w:p w14:paraId="12B192C3" w14:textId="78594AC2" w:rsidR="0056319C" w:rsidRPr="0056319C" w:rsidRDefault="0056319C" w:rsidP="00682D4D">
      <w:pPr>
        <w:pStyle w:val="Default"/>
        <w:jc w:val="both"/>
        <w:rPr>
          <w:rFonts w:ascii="Arial" w:hAnsi="Arial" w:cs="Arial"/>
          <w:color w:val="auto"/>
          <w:sz w:val="20"/>
          <w:szCs w:val="20"/>
        </w:rPr>
      </w:pPr>
    </w:p>
    <w:p w14:paraId="54CA6BC6" w14:textId="77777777" w:rsidR="0056319C" w:rsidRPr="0056319C" w:rsidRDefault="0056319C" w:rsidP="0056319C">
      <w:pPr>
        <w:pStyle w:val="Default"/>
        <w:rPr>
          <w:rFonts w:ascii="Arial" w:hAnsi="Arial" w:cs="Arial"/>
          <w:color w:val="auto"/>
          <w:sz w:val="20"/>
          <w:szCs w:val="20"/>
        </w:rPr>
      </w:pPr>
      <w:r w:rsidRPr="0056319C">
        <w:rPr>
          <w:rFonts w:ascii="Arial" w:hAnsi="Arial" w:cs="Arial"/>
          <w:color w:val="auto"/>
          <w:sz w:val="20"/>
          <w:szCs w:val="20"/>
        </w:rPr>
        <w:t>Costs planned in relation to services to flights exempted from ANS charges (pursuant to Article 31(3) to (5) and Article 22(6) of Implementing Regulation (EU) 2019/317) in the charging zone in 2021.</w:t>
      </w:r>
    </w:p>
    <w:p w14:paraId="74957267" w14:textId="77777777" w:rsidR="0056319C" w:rsidRPr="0056319C" w:rsidRDefault="0056319C" w:rsidP="0056319C">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6319C" w:rsidRPr="0056319C" w14:paraId="76722059" w14:textId="77777777" w:rsidTr="00581C1F">
        <w:tc>
          <w:tcPr>
            <w:tcW w:w="3857" w:type="dxa"/>
            <w:shd w:val="clear" w:color="auto" w:fill="auto"/>
            <w:vAlign w:val="bottom"/>
          </w:tcPr>
          <w:p w14:paraId="2452D3B4" w14:textId="77777777" w:rsidR="0056319C" w:rsidRPr="0056319C" w:rsidRDefault="0056319C" w:rsidP="009F3D90">
            <w:pPr>
              <w:spacing w:before="40" w:after="40"/>
              <w:jc w:val="center"/>
              <w:rPr>
                <w:rFonts w:ascii="Calibri" w:hAnsi="Calibri" w:cs="Calibri"/>
                <w:b/>
                <w:sz w:val="18"/>
                <w:szCs w:val="18"/>
              </w:rPr>
            </w:pPr>
          </w:p>
        </w:tc>
        <w:tc>
          <w:tcPr>
            <w:tcW w:w="4961" w:type="dxa"/>
          </w:tcPr>
          <w:p w14:paraId="189064A7" w14:textId="77777777" w:rsidR="0056319C" w:rsidRPr="0056319C" w:rsidRDefault="0056319C" w:rsidP="009F3D90">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2021</w:t>
            </w:r>
          </w:p>
        </w:tc>
      </w:tr>
      <w:tr w:rsidR="0056319C" w:rsidRPr="0056319C" w14:paraId="47666B77" w14:textId="77777777" w:rsidTr="00581C1F">
        <w:tc>
          <w:tcPr>
            <w:tcW w:w="3857" w:type="dxa"/>
            <w:shd w:val="clear" w:color="auto" w:fill="auto"/>
            <w:vAlign w:val="bottom"/>
          </w:tcPr>
          <w:p w14:paraId="134FF3B1"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7D447C6D" w14:textId="73087DAE" w:rsidR="0056319C" w:rsidRPr="00DA6212" w:rsidRDefault="00847F20" w:rsidP="00847F20">
            <w:pPr>
              <w:spacing w:before="0" w:after="0"/>
              <w:rPr>
                <w:rFonts w:ascii="Calibri" w:hAnsi="Calibri"/>
                <w:color w:val="000000"/>
                <w:sz w:val="18"/>
                <w:szCs w:val="18"/>
              </w:rPr>
            </w:pPr>
            <w:r w:rsidRPr="00977A44">
              <w:rPr>
                <w:rFonts w:ascii="Arial" w:eastAsia="Calibri" w:hAnsi="Arial" w:cs="Arial"/>
                <w:sz w:val="18"/>
                <w:szCs w:val="18"/>
              </w:rPr>
              <w:t>1</w:t>
            </w:r>
            <w:r w:rsidR="00E9129A" w:rsidRPr="00977A44">
              <w:rPr>
                <w:rFonts w:ascii="Arial" w:eastAsia="Calibri" w:hAnsi="Arial" w:cs="Arial"/>
                <w:sz w:val="18"/>
                <w:szCs w:val="18"/>
              </w:rPr>
              <w:t> </w:t>
            </w:r>
            <w:r w:rsidR="00DF172F" w:rsidRPr="00977A44">
              <w:rPr>
                <w:rFonts w:ascii="Arial" w:eastAsia="Calibri" w:hAnsi="Arial" w:cs="Arial"/>
                <w:sz w:val="18"/>
                <w:szCs w:val="18"/>
              </w:rPr>
              <w:t xml:space="preserve">030 </w:t>
            </w:r>
            <w:r w:rsidR="00E9129A" w:rsidRPr="00977A44">
              <w:rPr>
                <w:rFonts w:ascii="Arial" w:eastAsia="Calibri" w:hAnsi="Arial" w:cs="Arial"/>
                <w:sz w:val="18"/>
                <w:szCs w:val="18"/>
              </w:rPr>
              <w:t>KNOK</w:t>
            </w:r>
          </w:p>
        </w:tc>
      </w:tr>
      <w:tr w:rsidR="0056319C" w:rsidRPr="0056319C" w14:paraId="1900B6C3" w14:textId="77777777" w:rsidTr="00581C1F">
        <w:trPr>
          <w:trHeight w:val="204"/>
        </w:trPr>
        <w:tc>
          <w:tcPr>
            <w:tcW w:w="3857" w:type="dxa"/>
            <w:shd w:val="clear" w:color="auto" w:fill="auto"/>
            <w:vAlign w:val="bottom"/>
          </w:tcPr>
          <w:p w14:paraId="3F359676"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05DA0BBB" w14:textId="0AC0F082" w:rsidR="0056319C" w:rsidRPr="00CF72BD" w:rsidRDefault="0056319C" w:rsidP="009F3D90">
            <w:pPr>
              <w:spacing w:before="40" w:after="40"/>
              <w:jc w:val="left"/>
              <w:rPr>
                <w:rFonts w:ascii="Calibri" w:hAnsi="Calibri" w:cs="Calibri"/>
                <w:sz w:val="18"/>
                <w:szCs w:val="18"/>
                <w:highlight w:val="yellow"/>
              </w:rPr>
            </w:pPr>
          </w:p>
        </w:tc>
      </w:tr>
      <w:tr w:rsidR="0056319C" w:rsidRPr="0056319C" w14:paraId="053EF932" w14:textId="77777777" w:rsidTr="00581C1F">
        <w:tc>
          <w:tcPr>
            <w:tcW w:w="3857" w:type="dxa"/>
            <w:shd w:val="clear" w:color="auto" w:fill="auto"/>
            <w:vAlign w:val="bottom"/>
          </w:tcPr>
          <w:p w14:paraId="4B7028A9" w14:textId="77777777" w:rsidR="0056319C" w:rsidRPr="0056319C" w:rsidRDefault="0056319C" w:rsidP="009F3D90">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28D4C2B9" w14:textId="70B18172" w:rsidR="0056319C" w:rsidRPr="00977A44" w:rsidRDefault="00847F20" w:rsidP="00977A44">
            <w:pPr>
              <w:spacing w:before="0" w:after="0"/>
              <w:rPr>
                <w:rFonts w:ascii="Arial" w:eastAsia="Calibri" w:hAnsi="Arial" w:cs="Arial"/>
                <w:sz w:val="18"/>
                <w:szCs w:val="18"/>
              </w:rPr>
            </w:pPr>
            <w:r w:rsidRPr="00977A44">
              <w:rPr>
                <w:rFonts w:ascii="Arial" w:eastAsia="Calibri" w:hAnsi="Arial" w:cs="Arial"/>
                <w:sz w:val="18"/>
                <w:szCs w:val="18"/>
              </w:rPr>
              <w:t>1</w:t>
            </w:r>
            <w:r w:rsidR="00E9129A" w:rsidRPr="00977A44">
              <w:rPr>
                <w:rFonts w:ascii="Arial" w:eastAsia="Calibri" w:hAnsi="Arial" w:cs="Arial"/>
                <w:sz w:val="18"/>
                <w:szCs w:val="18"/>
              </w:rPr>
              <w:t> </w:t>
            </w:r>
            <w:r w:rsidR="00DF172F" w:rsidRPr="00977A44">
              <w:rPr>
                <w:rFonts w:ascii="Arial" w:eastAsia="Calibri" w:hAnsi="Arial" w:cs="Arial"/>
                <w:sz w:val="18"/>
                <w:szCs w:val="18"/>
              </w:rPr>
              <w:t xml:space="preserve">030 </w:t>
            </w:r>
            <w:r w:rsidR="00E9129A" w:rsidRPr="00977A44">
              <w:rPr>
                <w:rFonts w:ascii="Arial" w:eastAsia="Calibri" w:hAnsi="Arial" w:cs="Arial"/>
                <w:sz w:val="18"/>
                <w:szCs w:val="18"/>
              </w:rPr>
              <w:t>KNOK</w:t>
            </w:r>
          </w:p>
        </w:tc>
      </w:tr>
    </w:tbl>
    <w:p w14:paraId="5B00BF16" w14:textId="77777777" w:rsidR="00682D4D" w:rsidRPr="00E57288" w:rsidRDefault="00682D4D" w:rsidP="00F424DF">
      <w:pPr>
        <w:pStyle w:val="Default"/>
        <w:jc w:val="both"/>
        <w:rPr>
          <w:rFonts w:ascii="Arial" w:hAnsi="Arial" w:cs="Arial"/>
          <w:color w:val="17365D"/>
          <w:sz w:val="20"/>
          <w:szCs w:val="20"/>
        </w:rPr>
      </w:pPr>
    </w:p>
    <w:p w14:paraId="2A35CB77" w14:textId="77777777" w:rsidR="008B06AF" w:rsidRDefault="008B06AF" w:rsidP="008B06A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05F1BD6" w14:textId="77777777" w:rsidTr="002D6CCF">
        <w:tc>
          <w:tcPr>
            <w:tcW w:w="9242" w:type="dxa"/>
            <w:shd w:val="clear" w:color="auto" w:fill="92D050"/>
          </w:tcPr>
          <w:p w14:paraId="6CCB5A96"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the traffic risk sharing mechanism in accordance with Article 27;</w:t>
            </w:r>
          </w:p>
        </w:tc>
      </w:tr>
    </w:tbl>
    <w:p w14:paraId="6BBBB795" w14:textId="77777777" w:rsidR="008B06AF" w:rsidRDefault="008B06AF" w:rsidP="008B06AF">
      <w:pPr>
        <w:pStyle w:val="Default"/>
        <w:jc w:val="both"/>
        <w:rPr>
          <w:rFonts w:ascii="Arial" w:hAnsi="Arial" w:cs="Arial"/>
          <w:color w:val="17365D"/>
          <w:sz w:val="20"/>
          <w:szCs w:val="20"/>
        </w:rPr>
      </w:pPr>
    </w:p>
    <w:p w14:paraId="5EDA6076" w14:textId="49742C63" w:rsidR="00B4281D" w:rsidRPr="00661770" w:rsidRDefault="00B4281D" w:rsidP="00B4281D">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w:t>
      </w:r>
      <w:r w:rsidR="00015E4A" w:rsidRPr="00661770">
        <w:rPr>
          <w:rFonts w:ascii="Arial" w:hAnsi="Arial" w:cs="Arial"/>
          <w:color w:val="auto"/>
          <w:sz w:val="20"/>
          <w:szCs w:val="20"/>
        </w:rPr>
        <w:t xml:space="preserve"> (E</w:t>
      </w:r>
      <w:r w:rsidR="00015E4A" w:rsidRPr="00661770">
        <w:rPr>
          <w:rFonts w:ascii="Arial" w:eastAsiaTheme="minorHAnsi" w:hAnsi="Arial" w:cs="Arial"/>
          <w:color w:val="auto"/>
          <w:sz w:val="20"/>
          <w:szCs w:val="20"/>
        </w:rPr>
        <w:t xml:space="preserve">xceptional measures for RP3 due to the COVID-19 pandemic (Regulation (EU) 2020/1627, </w:t>
      </w:r>
      <w:r w:rsidR="00015E4A" w:rsidRPr="00661770">
        <w:rPr>
          <w:rFonts w:ascii="Arial" w:hAnsi="Arial" w:cs="Arial"/>
          <w:color w:val="auto"/>
          <w:sz w:val="20"/>
          <w:szCs w:val="20"/>
        </w:rPr>
        <w:t>Article 5(1) and (2)</w:t>
      </w:r>
      <w:r w:rsidR="009D005F">
        <w:rPr>
          <w:rFonts w:ascii="Arial" w:hAnsi="Arial" w:cs="Arial"/>
          <w:color w:val="auto"/>
          <w:sz w:val="20"/>
          <w:szCs w:val="20"/>
        </w:rPr>
        <w:t>))</w:t>
      </w:r>
      <w:r w:rsidR="00015E4A" w:rsidRPr="00661770">
        <w:rPr>
          <w:rFonts w:ascii="Arial" w:hAnsi="Arial" w:cs="Arial"/>
          <w:color w:val="auto"/>
          <w:sz w:val="20"/>
          <w:szCs w:val="20"/>
        </w:rPr>
        <w:t>.</w:t>
      </w:r>
    </w:p>
    <w:p w14:paraId="68248162" w14:textId="5300FD65" w:rsidR="00E9129A" w:rsidRDefault="00E9129A">
      <w:pPr>
        <w:spacing w:before="0" w:after="200" w:line="276" w:lineRule="auto"/>
        <w:jc w:val="left"/>
        <w:rPr>
          <w:rFonts w:ascii="Arial" w:eastAsia="Calibri"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534C25E" w14:textId="77777777" w:rsidTr="002D6CCF">
        <w:tc>
          <w:tcPr>
            <w:tcW w:w="9242" w:type="dxa"/>
            <w:shd w:val="clear" w:color="auto" w:fill="92D050"/>
          </w:tcPr>
          <w:p w14:paraId="5B848024"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differences between determined costs and actual costs of year n as a result of the changes in costs referred to in Article 28(3) including description of the chan</w:t>
            </w:r>
            <w:r>
              <w:rPr>
                <w:rFonts w:ascii="Arial" w:hAnsi="Arial" w:cs="Arial"/>
                <w:b/>
                <w:color w:val="17365D"/>
                <w:sz w:val="20"/>
                <w:szCs w:val="20"/>
              </w:rPr>
              <w:t>ges referred to in that Article</w:t>
            </w:r>
            <w:r w:rsidRPr="00556F7D">
              <w:rPr>
                <w:rFonts w:ascii="Arial" w:hAnsi="Arial" w:cs="Arial"/>
                <w:b/>
                <w:color w:val="17365D"/>
                <w:sz w:val="20"/>
                <w:szCs w:val="20"/>
              </w:rPr>
              <w:t>;</w:t>
            </w:r>
          </w:p>
        </w:tc>
      </w:tr>
    </w:tbl>
    <w:p w14:paraId="54114918" w14:textId="77777777" w:rsidR="001F08BE" w:rsidRDefault="001F08BE" w:rsidP="001F08BE">
      <w:pPr>
        <w:pStyle w:val="Default"/>
        <w:jc w:val="both"/>
        <w:rPr>
          <w:rFonts w:ascii="Arial" w:hAnsi="Arial" w:cs="Arial"/>
          <w:color w:val="17365D"/>
          <w:sz w:val="20"/>
          <w:szCs w:val="20"/>
        </w:rPr>
      </w:pPr>
    </w:p>
    <w:p w14:paraId="0F9566F5" w14:textId="6E705104" w:rsidR="00015E4A" w:rsidRPr="00661770" w:rsidRDefault="00015E4A" w:rsidP="00015E4A">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 (E</w:t>
      </w:r>
      <w:r w:rsidRPr="00661770">
        <w:rPr>
          <w:rFonts w:ascii="Arial" w:eastAsiaTheme="minorHAnsi" w:hAnsi="Arial" w:cs="Arial"/>
          <w:color w:val="auto"/>
          <w:sz w:val="20"/>
          <w:szCs w:val="20"/>
        </w:rPr>
        <w:t xml:space="preserve">xceptional measures for RP3 due to the COVID-19 pandemic (Regulation (EU) 2020/1627, </w:t>
      </w:r>
      <w:r w:rsidRPr="00661770">
        <w:rPr>
          <w:rFonts w:ascii="Arial" w:hAnsi="Arial" w:cs="Arial"/>
          <w:color w:val="auto"/>
          <w:sz w:val="20"/>
          <w:szCs w:val="20"/>
        </w:rPr>
        <w:t>Article 5(</w:t>
      </w:r>
      <w:r w:rsidR="00661770" w:rsidRPr="00661770">
        <w:rPr>
          <w:rFonts w:ascii="Arial" w:hAnsi="Arial" w:cs="Arial"/>
          <w:color w:val="auto"/>
          <w:sz w:val="20"/>
          <w:szCs w:val="20"/>
        </w:rPr>
        <w:t>3</w:t>
      </w:r>
      <w:r w:rsidRPr="00661770">
        <w:rPr>
          <w:rFonts w:ascii="Arial" w:hAnsi="Arial" w:cs="Arial"/>
          <w:color w:val="auto"/>
          <w:sz w:val="20"/>
          <w:szCs w:val="20"/>
        </w:rPr>
        <w:t>)</w:t>
      </w:r>
      <w:r w:rsidR="00553DD0">
        <w:rPr>
          <w:rFonts w:ascii="Arial" w:hAnsi="Arial" w:cs="Arial"/>
          <w:color w:val="auto"/>
          <w:sz w:val="20"/>
          <w:szCs w:val="20"/>
        </w:rPr>
        <w:t>))</w:t>
      </w:r>
      <w:r w:rsidRPr="00661770">
        <w:rPr>
          <w:rFonts w:ascii="Arial" w:hAnsi="Arial" w:cs="Arial"/>
          <w:color w:val="auto"/>
          <w:sz w:val="20"/>
          <w:szCs w:val="20"/>
        </w:rPr>
        <w:t>.</w:t>
      </w:r>
    </w:p>
    <w:p w14:paraId="1CC3F785" w14:textId="77777777" w:rsidR="0029794E" w:rsidRPr="00CA5B88" w:rsidRDefault="0029794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C7F4E42" w14:textId="77777777" w:rsidTr="002D6CCF">
        <w:tc>
          <w:tcPr>
            <w:tcW w:w="9242" w:type="dxa"/>
            <w:shd w:val="clear" w:color="auto" w:fill="92D050"/>
          </w:tcPr>
          <w:p w14:paraId="24FB6C87"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unforeseen changes in costs in accordance with Article 28(3) to (6)</w:t>
            </w:r>
            <w:r w:rsidRPr="00556F7D">
              <w:rPr>
                <w:rFonts w:ascii="Arial" w:hAnsi="Arial" w:cs="Arial"/>
                <w:b/>
                <w:color w:val="17365D"/>
                <w:sz w:val="20"/>
                <w:szCs w:val="20"/>
              </w:rPr>
              <w:t>;</w:t>
            </w:r>
          </w:p>
        </w:tc>
      </w:tr>
    </w:tbl>
    <w:p w14:paraId="1AEA244D" w14:textId="77777777" w:rsidR="001F08BE" w:rsidRPr="00601109" w:rsidRDefault="001F08BE" w:rsidP="00601109">
      <w:pPr>
        <w:pStyle w:val="Default"/>
        <w:jc w:val="both"/>
        <w:rPr>
          <w:rFonts w:ascii="Arial" w:hAnsi="Arial" w:cs="Arial"/>
          <w:color w:val="17365D"/>
          <w:sz w:val="20"/>
          <w:szCs w:val="20"/>
        </w:rPr>
      </w:pPr>
    </w:p>
    <w:p w14:paraId="3AE4FF92" w14:textId="6475C849" w:rsidR="00661770" w:rsidRPr="00661770" w:rsidRDefault="00661770" w:rsidP="00661770">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 (E</w:t>
      </w:r>
      <w:r w:rsidRPr="00661770">
        <w:rPr>
          <w:rFonts w:ascii="Arial" w:eastAsiaTheme="minorHAnsi" w:hAnsi="Arial" w:cs="Arial"/>
          <w:color w:val="auto"/>
          <w:sz w:val="20"/>
          <w:szCs w:val="20"/>
        </w:rPr>
        <w:t xml:space="preserve">xceptional measures for RP3 due to the COVID-19 pandemic (Regulation (EU) 2020/1627, </w:t>
      </w:r>
      <w:r w:rsidRPr="00661770">
        <w:rPr>
          <w:rFonts w:ascii="Arial" w:hAnsi="Arial" w:cs="Arial"/>
          <w:color w:val="auto"/>
          <w:sz w:val="20"/>
          <w:szCs w:val="20"/>
        </w:rPr>
        <w:t>Article 5(3)</w:t>
      </w:r>
      <w:r w:rsidR="00553DD0">
        <w:rPr>
          <w:rFonts w:ascii="Arial" w:hAnsi="Arial" w:cs="Arial"/>
          <w:color w:val="auto"/>
          <w:sz w:val="20"/>
          <w:szCs w:val="20"/>
        </w:rPr>
        <w:t>))</w:t>
      </w:r>
      <w:r w:rsidRPr="00661770">
        <w:rPr>
          <w:rFonts w:ascii="Arial" w:hAnsi="Arial" w:cs="Arial"/>
          <w:color w:val="auto"/>
          <w:sz w:val="20"/>
          <w:szCs w:val="20"/>
        </w:rPr>
        <w:t>.</w:t>
      </w:r>
    </w:p>
    <w:p w14:paraId="6AB168EA" w14:textId="77777777" w:rsidR="001F08BE"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7440A881" w14:textId="77777777" w:rsidTr="002D6CCF">
        <w:tc>
          <w:tcPr>
            <w:tcW w:w="9242" w:type="dxa"/>
            <w:shd w:val="clear" w:color="auto" w:fill="92D050"/>
          </w:tcPr>
          <w:p w14:paraId="3312D34B"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other revenues, if any, broken down between the different categories indicated in Article 25(3)</w:t>
            </w:r>
            <w:r w:rsidRPr="00556F7D">
              <w:rPr>
                <w:rFonts w:ascii="Arial" w:hAnsi="Arial" w:cs="Arial"/>
                <w:b/>
                <w:color w:val="17365D"/>
                <w:sz w:val="20"/>
                <w:szCs w:val="20"/>
              </w:rPr>
              <w:t>;</w:t>
            </w:r>
          </w:p>
        </w:tc>
      </w:tr>
    </w:tbl>
    <w:p w14:paraId="6F8D48E8" w14:textId="77777777" w:rsidR="0029794E" w:rsidRDefault="0029794E" w:rsidP="0029794E">
      <w:pPr>
        <w:pStyle w:val="Default"/>
        <w:jc w:val="both"/>
        <w:rPr>
          <w:rFonts w:ascii="Arial" w:hAnsi="Arial" w:cs="Arial"/>
          <w:color w:val="17365D"/>
          <w:sz w:val="20"/>
          <w:szCs w:val="20"/>
        </w:rPr>
      </w:pPr>
    </w:p>
    <w:p w14:paraId="2E3FA773" w14:textId="3480DCF2" w:rsidR="001F08BE" w:rsidRDefault="00E9129A" w:rsidP="001F08BE">
      <w:pPr>
        <w:pStyle w:val="Default"/>
        <w:jc w:val="both"/>
        <w:rPr>
          <w:rFonts w:ascii="Arial" w:eastAsia="Times New Roman" w:hAnsi="Arial" w:cs="Arial"/>
          <w:color w:val="auto"/>
          <w:spacing w:val="-2"/>
          <w:sz w:val="20"/>
          <w:szCs w:val="20"/>
        </w:rPr>
      </w:pPr>
      <w:r>
        <w:rPr>
          <w:rFonts w:ascii="Arial" w:eastAsia="Times New Roman" w:hAnsi="Arial" w:cs="Arial"/>
          <w:color w:val="auto"/>
          <w:spacing w:val="-2"/>
          <w:sz w:val="20"/>
          <w:szCs w:val="20"/>
        </w:rPr>
        <w:t>C</w:t>
      </w:r>
      <w:r w:rsidRPr="00024404">
        <w:rPr>
          <w:rFonts w:ascii="Arial" w:eastAsia="Times New Roman" w:hAnsi="Arial" w:cs="Arial"/>
          <w:color w:val="auto"/>
          <w:spacing w:val="-2"/>
          <w:sz w:val="20"/>
          <w:szCs w:val="20"/>
        </w:rPr>
        <w:t>ost</w:t>
      </w:r>
      <w:r w:rsidR="00511137">
        <w:rPr>
          <w:rFonts w:ascii="Arial" w:eastAsia="Times New Roman" w:hAnsi="Arial" w:cs="Arial"/>
          <w:color w:val="auto"/>
          <w:spacing w:val="-2"/>
          <w:sz w:val="20"/>
          <w:szCs w:val="20"/>
        </w:rPr>
        <w:t>s</w:t>
      </w:r>
      <w:r w:rsidRPr="00024404">
        <w:rPr>
          <w:rFonts w:ascii="Arial" w:eastAsia="Times New Roman" w:hAnsi="Arial" w:cs="Arial"/>
          <w:color w:val="auto"/>
          <w:spacing w:val="-2"/>
          <w:sz w:val="20"/>
          <w:szCs w:val="20"/>
        </w:rPr>
        <w:t xml:space="preserve"> exempt either stemming from previous</w:t>
      </w:r>
      <w:r>
        <w:rPr>
          <w:rFonts w:ascii="Arial" w:eastAsia="Times New Roman" w:hAnsi="Arial" w:cs="Arial"/>
          <w:color w:val="auto"/>
          <w:spacing w:val="-2"/>
          <w:sz w:val="20"/>
          <w:szCs w:val="20"/>
        </w:rPr>
        <w:t xml:space="preserve"> (carried over from RP2)</w:t>
      </w:r>
      <w:r w:rsidRPr="00024404">
        <w:rPr>
          <w:rFonts w:ascii="Arial" w:eastAsia="Times New Roman" w:hAnsi="Arial" w:cs="Arial"/>
          <w:color w:val="auto"/>
          <w:spacing w:val="-2"/>
          <w:sz w:val="20"/>
          <w:szCs w:val="20"/>
        </w:rPr>
        <w:t xml:space="preserve"> or current reference period </w:t>
      </w:r>
      <w:r w:rsidR="00511137">
        <w:rPr>
          <w:rFonts w:ascii="Arial" w:eastAsia="Times New Roman" w:hAnsi="Arial" w:cs="Arial"/>
          <w:color w:val="auto"/>
          <w:spacing w:val="-2"/>
          <w:sz w:val="20"/>
          <w:szCs w:val="20"/>
        </w:rPr>
        <w:t>(</w:t>
      </w:r>
      <w:r w:rsidRPr="00024404">
        <w:rPr>
          <w:rFonts w:ascii="Arial" w:eastAsia="Times New Roman" w:hAnsi="Arial" w:cs="Arial"/>
          <w:color w:val="auto"/>
          <w:spacing w:val="-2"/>
          <w:sz w:val="20"/>
          <w:szCs w:val="20"/>
        </w:rPr>
        <w:t>RP3</w:t>
      </w:r>
      <w:r w:rsidR="00511137">
        <w:rPr>
          <w:rFonts w:ascii="Arial" w:eastAsia="Times New Roman" w:hAnsi="Arial" w:cs="Arial"/>
          <w:color w:val="auto"/>
          <w:spacing w:val="-2"/>
          <w:sz w:val="20"/>
          <w:szCs w:val="20"/>
        </w:rPr>
        <w:t>)</w:t>
      </w:r>
      <w:r w:rsidRPr="00024404">
        <w:rPr>
          <w:rFonts w:ascii="Arial" w:eastAsia="Times New Roman" w:hAnsi="Arial" w:cs="Arial"/>
          <w:color w:val="auto"/>
          <w:spacing w:val="-2"/>
          <w:sz w:val="20"/>
          <w:szCs w:val="20"/>
        </w:rPr>
        <w:t xml:space="preserve"> are not applicable for this submission (ref. terminal reporting tables RP3, sheet T2, item 3.8 and item 13.4).</w:t>
      </w:r>
    </w:p>
    <w:p w14:paraId="6B611DAA" w14:textId="77777777" w:rsidR="00DA6212" w:rsidRPr="00CA5B88" w:rsidRDefault="00DA6212"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3ABDC9D" w14:textId="77777777" w:rsidTr="002D6CCF">
        <w:tc>
          <w:tcPr>
            <w:tcW w:w="9242" w:type="dxa"/>
            <w:shd w:val="clear" w:color="auto" w:fill="92D050"/>
          </w:tcPr>
          <w:p w14:paraId="5B07C20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application of the financial incentive schemes referred to in Article 11(3) and 11(4) in year n and the resulting financial advantages and disadvantages; description and explanation of the modulation of air navigation charges applied in year n under Article 32 where applicable, and resulting adjustments</w:t>
            </w:r>
            <w:r w:rsidRPr="00556F7D">
              <w:rPr>
                <w:rFonts w:ascii="Arial" w:hAnsi="Arial" w:cs="Arial"/>
                <w:b/>
                <w:color w:val="17365D"/>
                <w:sz w:val="20"/>
                <w:szCs w:val="20"/>
              </w:rPr>
              <w:t>;</w:t>
            </w:r>
          </w:p>
        </w:tc>
      </w:tr>
    </w:tbl>
    <w:p w14:paraId="033B4ADB" w14:textId="77777777" w:rsidR="00F424DF" w:rsidRPr="00F424DF" w:rsidRDefault="00F424DF" w:rsidP="00F424DF">
      <w:pPr>
        <w:jc w:val="center"/>
        <w:rPr>
          <w:b/>
          <w:i/>
          <w:lang w:eastAsia="de-DE"/>
        </w:rPr>
      </w:pPr>
      <w:r w:rsidRPr="00F424DF">
        <w:rPr>
          <w:b/>
          <w:i/>
          <w:lang w:eastAsia="de-DE"/>
        </w:rPr>
        <w:t>Financial incentive schemes</w:t>
      </w:r>
    </w:p>
    <w:p w14:paraId="14B3628B" w14:textId="77777777" w:rsidR="008C2344" w:rsidRPr="00661770" w:rsidRDefault="008C2344" w:rsidP="008C2344">
      <w:pPr>
        <w:pStyle w:val="Default"/>
        <w:jc w:val="both"/>
        <w:rPr>
          <w:rFonts w:ascii="Arial" w:hAnsi="Arial" w:cs="Arial"/>
          <w:color w:val="auto"/>
          <w:sz w:val="20"/>
          <w:szCs w:val="20"/>
        </w:rPr>
      </w:pPr>
      <w:r w:rsidRPr="00661770">
        <w:rPr>
          <w:rFonts w:ascii="Arial" w:hAnsi="Arial" w:cs="Arial"/>
          <w:color w:val="auto"/>
          <w:sz w:val="20"/>
          <w:szCs w:val="20"/>
        </w:rPr>
        <w:t>The description and justification of the parameters of the incentive scheme defined in accordance with Article 11(3) and 11 (4) are provided in the body of the performance plan under item 5.2.</w:t>
      </w:r>
    </w:p>
    <w:p w14:paraId="40D81DB4" w14:textId="77777777" w:rsidR="00F424DF" w:rsidRPr="00F424DF" w:rsidRDefault="00F424DF" w:rsidP="00F424DF">
      <w:pPr>
        <w:jc w:val="center"/>
        <w:rPr>
          <w:b/>
          <w:i/>
          <w:lang w:eastAsia="de-DE"/>
        </w:rPr>
      </w:pPr>
      <w:r w:rsidRPr="00F424DF">
        <w:rPr>
          <w:b/>
          <w:i/>
          <w:lang w:eastAsia="de-DE"/>
        </w:rPr>
        <w:t>Modulation of charges</w:t>
      </w:r>
    </w:p>
    <w:p w14:paraId="0CCE345D" w14:textId="65E0F439" w:rsidR="00661770" w:rsidRPr="00661770" w:rsidRDefault="00015E4A" w:rsidP="00661770">
      <w:pPr>
        <w:pStyle w:val="Default"/>
        <w:jc w:val="both"/>
        <w:rPr>
          <w:rFonts w:ascii="Arial" w:hAnsi="Arial" w:cs="Arial"/>
          <w:color w:val="auto"/>
          <w:sz w:val="20"/>
          <w:szCs w:val="20"/>
        </w:rPr>
      </w:pPr>
      <w:r w:rsidRPr="00661770">
        <w:rPr>
          <w:rFonts w:ascii="Arial" w:hAnsi="Arial" w:cs="Arial"/>
          <w:color w:val="auto"/>
          <w:sz w:val="20"/>
          <w:szCs w:val="20"/>
        </w:rPr>
        <w:t>The actual application and relating financial advantages and disadvantages for 2020 is not applicable</w:t>
      </w:r>
      <w:r w:rsidR="00661770" w:rsidRPr="00661770">
        <w:rPr>
          <w:rFonts w:ascii="Arial" w:hAnsi="Arial" w:cs="Arial"/>
          <w:color w:val="auto"/>
          <w:sz w:val="20"/>
          <w:szCs w:val="20"/>
        </w:rPr>
        <w:t xml:space="preserve"> (E</w:t>
      </w:r>
      <w:r w:rsidR="00661770" w:rsidRPr="00661770">
        <w:rPr>
          <w:rFonts w:ascii="Arial" w:eastAsiaTheme="minorHAnsi" w:hAnsi="Arial" w:cs="Arial"/>
          <w:color w:val="auto"/>
          <w:sz w:val="20"/>
          <w:szCs w:val="20"/>
        </w:rPr>
        <w:t xml:space="preserve">xceptional measures for RP3 due to the COVID-19 pandemic (Regulation (EU) 2020/1627, </w:t>
      </w:r>
      <w:r w:rsidR="00661770" w:rsidRPr="00661770">
        <w:rPr>
          <w:rFonts w:ascii="Arial" w:hAnsi="Arial" w:cs="Arial"/>
          <w:color w:val="auto"/>
          <w:sz w:val="20"/>
          <w:szCs w:val="20"/>
        </w:rPr>
        <w:t>Article 3 (3)</w:t>
      </w:r>
      <w:r w:rsidR="00C22C1D">
        <w:rPr>
          <w:rFonts w:ascii="Arial" w:hAnsi="Arial" w:cs="Arial"/>
          <w:color w:val="auto"/>
          <w:sz w:val="20"/>
          <w:szCs w:val="20"/>
        </w:rPr>
        <w:t>)</w:t>
      </w:r>
      <w:r w:rsidR="00553DD0">
        <w:rPr>
          <w:rFonts w:ascii="Arial" w:hAnsi="Arial" w:cs="Arial"/>
          <w:color w:val="auto"/>
          <w:sz w:val="20"/>
          <w:szCs w:val="20"/>
        </w:rPr>
        <w:t>)</w:t>
      </w:r>
      <w:r w:rsidR="00661770" w:rsidRPr="00661770">
        <w:rPr>
          <w:rFonts w:ascii="Arial" w:hAnsi="Arial" w:cs="Arial"/>
          <w:color w:val="auto"/>
          <w:sz w:val="20"/>
          <w:szCs w:val="20"/>
        </w:rPr>
        <w:t>.</w:t>
      </w:r>
    </w:p>
    <w:p w14:paraId="786F0E1A" w14:textId="52E75B79" w:rsidR="00661770" w:rsidRDefault="00661770"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42C764E1" w14:textId="77777777" w:rsidTr="002D6CCF">
        <w:tc>
          <w:tcPr>
            <w:tcW w:w="9242" w:type="dxa"/>
            <w:shd w:val="clear" w:color="auto" w:fill="92D050"/>
          </w:tcPr>
          <w:p w14:paraId="14C7745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relating to the temporary application of a unit rate under Article 29(5);</w:t>
            </w:r>
          </w:p>
        </w:tc>
      </w:tr>
    </w:tbl>
    <w:p w14:paraId="7675F0D0" w14:textId="77777777" w:rsidR="001F08BE" w:rsidRDefault="001F08BE" w:rsidP="001F08BE">
      <w:pPr>
        <w:pStyle w:val="Default"/>
        <w:jc w:val="both"/>
        <w:rPr>
          <w:rFonts w:ascii="Arial" w:hAnsi="Arial" w:cs="Arial"/>
          <w:color w:val="17365D"/>
          <w:sz w:val="20"/>
          <w:szCs w:val="20"/>
        </w:rPr>
      </w:pPr>
    </w:p>
    <w:p w14:paraId="14A33DCE" w14:textId="3D1DED8C" w:rsidR="00661770" w:rsidRPr="00661770" w:rsidRDefault="00661770" w:rsidP="00661770">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 (E</w:t>
      </w:r>
      <w:r w:rsidRPr="00661770">
        <w:rPr>
          <w:rFonts w:ascii="Arial" w:eastAsiaTheme="minorHAnsi" w:hAnsi="Arial" w:cs="Arial"/>
          <w:color w:val="auto"/>
          <w:sz w:val="20"/>
          <w:szCs w:val="20"/>
        </w:rPr>
        <w:t xml:space="preserve">xceptional measures for RP3 due to the COVID-19 pandemic (Regulation (EU) 2020/1627, </w:t>
      </w:r>
      <w:r w:rsidRPr="00661770">
        <w:rPr>
          <w:rFonts w:ascii="Arial" w:hAnsi="Arial" w:cs="Arial"/>
          <w:color w:val="auto"/>
          <w:sz w:val="20"/>
          <w:szCs w:val="20"/>
        </w:rPr>
        <w:t>Article 5(4)</w:t>
      </w:r>
      <w:r w:rsidR="00553DD0">
        <w:rPr>
          <w:rFonts w:ascii="Arial" w:hAnsi="Arial" w:cs="Arial"/>
          <w:color w:val="auto"/>
          <w:sz w:val="20"/>
          <w:szCs w:val="20"/>
        </w:rPr>
        <w:t>))</w:t>
      </w:r>
      <w:r w:rsidRPr="00661770">
        <w:rPr>
          <w:rFonts w:ascii="Arial" w:hAnsi="Arial" w:cs="Arial"/>
          <w:color w:val="auto"/>
          <w:sz w:val="20"/>
          <w:szCs w:val="20"/>
        </w:rPr>
        <w:t>.</w:t>
      </w:r>
    </w:p>
    <w:p w14:paraId="25A45D0A" w14:textId="5FFC6944" w:rsidR="007D1971" w:rsidRDefault="007D1971" w:rsidP="007D1971">
      <w:pPr>
        <w:pStyle w:val="Default"/>
        <w:jc w:val="both"/>
        <w:rPr>
          <w:rFonts w:ascii="Arial" w:hAnsi="Arial" w:cs="Arial"/>
          <w:color w:val="17365D"/>
          <w:sz w:val="20"/>
          <w:szCs w:val="20"/>
        </w:rPr>
      </w:pPr>
    </w:p>
    <w:p w14:paraId="2D921DAE"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4B179E1" w14:textId="77777777" w:rsidTr="002D6CCF">
        <w:tc>
          <w:tcPr>
            <w:tcW w:w="9242" w:type="dxa"/>
            <w:shd w:val="clear" w:color="auto" w:fill="92D050"/>
          </w:tcPr>
          <w:p w14:paraId="598955E8" w14:textId="77777777" w:rsidR="001F08BE" w:rsidRPr="00CA5B88" w:rsidRDefault="001F08BE" w:rsidP="001F08B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 xml:space="preserve">escription of the cross-financing between </w:t>
            </w:r>
            <w:proofErr w:type="spellStart"/>
            <w:r w:rsidRPr="001F08BE">
              <w:rPr>
                <w:rFonts w:ascii="Arial" w:hAnsi="Arial" w:cs="Arial"/>
                <w:b/>
                <w:color w:val="17365D"/>
                <w:sz w:val="20"/>
                <w:szCs w:val="20"/>
              </w:rPr>
              <w:t>en</w:t>
            </w:r>
            <w:proofErr w:type="spellEnd"/>
            <w:r w:rsidRPr="001F08BE">
              <w:rPr>
                <w:rFonts w:ascii="Arial" w:hAnsi="Arial" w:cs="Arial"/>
                <w:b/>
                <w:color w:val="17365D"/>
                <w:sz w:val="20"/>
                <w:szCs w:val="20"/>
              </w:rPr>
              <w:t xml:space="preserve"> route charging zones, or between terminal charging zones, in accordance with point (e) of Article 15(2) of Regulation 550/2004;</w:t>
            </w:r>
          </w:p>
        </w:tc>
      </w:tr>
    </w:tbl>
    <w:p w14:paraId="279D62FD" w14:textId="77777777" w:rsidR="002018BF" w:rsidRDefault="002018BF" w:rsidP="002018BF">
      <w:pPr>
        <w:pStyle w:val="Default"/>
        <w:jc w:val="both"/>
        <w:rPr>
          <w:rFonts w:ascii="Arial" w:hAnsi="Arial" w:cs="Arial"/>
          <w:color w:val="17365D"/>
          <w:sz w:val="20"/>
          <w:szCs w:val="20"/>
        </w:rPr>
      </w:pPr>
    </w:p>
    <w:p w14:paraId="680B7E09" w14:textId="6D7D3F47" w:rsidR="00E9129A" w:rsidRPr="00C65527" w:rsidRDefault="00E9129A" w:rsidP="00E9129A">
      <w:pPr>
        <w:pStyle w:val="Default"/>
        <w:jc w:val="both"/>
        <w:rPr>
          <w:rFonts w:ascii="Arial" w:hAnsi="Arial" w:cs="Arial"/>
          <w:sz w:val="20"/>
          <w:szCs w:val="20"/>
        </w:rPr>
      </w:pPr>
      <w:r w:rsidRPr="00C65527">
        <w:rPr>
          <w:rFonts w:ascii="Arial" w:hAnsi="Arial" w:cs="Arial"/>
          <w:sz w:val="20"/>
          <w:szCs w:val="20"/>
        </w:rPr>
        <w:t>Not applicable for this submission in current reference period RP3 (ref. terminal reporting tables RP3,</w:t>
      </w:r>
      <w:r w:rsidRPr="00AE7DE0">
        <w:rPr>
          <w:rFonts w:ascii="Arial" w:eastAsia="Times New Roman" w:hAnsi="Arial" w:cs="Arial"/>
          <w:color w:val="auto"/>
          <w:spacing w:val="-2"/>
          <w:sz w:val="20"/>
          <w:szCs w:val="20"/>
        </w:rPr>
        <w:t xml:space="preserve"> </w:t>
      </w:r>
      <w:r w:rsidRPr="00C65527">
        <w:rPr>
          <w:rFonts w:ascii="Arial" w:hAnsi="Arial" w:cs="Arial"/>
          <w:sz w:val="20"/>
          <w:szCs w:val="20"/>
        </w:rPr>
        <w:t>sheet T2, item 13.</w:t>
      </w:r>
      <w:r w:rsidR="00A548B5">
        <w:rPr>
          <w:rFonts w:ascii="Arial" w:hAnsi="Arial" w:cs="Arial"/>
          <w:sz w:val="20"/>
          <w:szCs w:val="20"/>
        </w:rPr>
        <w:t>9</w:t>
      </w:r>
      <w:r w:rsidRPr="00C65527">
        <w:rPr>
          <w:rFonts w:ascii="Arial" w:hAnsi="Arial" w:cs="Arial"/>
          <w:sz w:val="20"/>
          <w:szCs w:val="20"/>
        </w:rPr>
        <w:t>).</w:t>
      </w:r>
    </w:p>
    <w:p w14:paraId="5BEB4ADE" w14:textId="1C3CCCB1" w:rsidR="00F424DF" w:rsidRDefault="00F424DF" w:rsidP="00F424DF">
      <w:pPr>
        <w:pStyle w:val="Default"/>
        <w:jc w:val="both"/>
        <w:rPr>
          <w:rFonts w:ascii="Arial" w:hAnsi="Arial" w:cs="Arial"/>
          <w:color w:val="17365D"/>
          <w:sz w:val="20"/>
          <w:szCs w:val="20"/>
        </w:rPr>
      </w:pPr>
    </w:p>
    <w:p w14:paraId="638572EC" w14:textId="77777777" w:rsidR="006C0A39" w:rsidRPr="00E57288" w:rsidRDefault="006C0A39" w:rsidP="00F424D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FE2F767" w14:textId="77777777" w:rsidTr="002D6CCF">
        <w:tc>
          <w:tcPr>
            <w:tcW w:w="9242" w:type="dxa"/>
            <w:shd w:val="clear" w:color="auto" w:fill="92D050"/>
          </w:tcPr>
          <w:p w14:paraId="09251D55"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on the application of a lower unit rate under Article 29(6) than the unit rate calculated in accordance with Article 25(2) and the means to finance the difference in revenue</w:t>
            </w:r>
            <w:r w:rsidRPr="00556F7D">
              <w:rPr>
                <w:rFonts w:ascii="Arial" w:hAnsi="Arial" w:cs="Arial"/>
                <w:b/>
                <w:color w:val="17365D"/>
                <w:sz w:val="20"/>
                <w:szCs w:val="20"/>
              </w:rPr>
              <w:t>;</w:t>
            </w:r>
          </w:p>
        </w:tc>
      </w:tr>
    </w:tbl>
    <w:p w14:paraId="713A2D17" w14:textId="242CB21C" w:rsidR="0029794E" w:rsidRDefault="0029794E" w:rsidP="0029794E">
      <w:pPr>
        <w:pStyle w:val="Default"/>
        <w:jc w:val="both"/>
        <w:rPr>
          <w:rFonts w:ascii="Arial" w:hAnsi="Arial" w:cs="Arial"/>
          <w:color w:val="17365D"/>
          <w:sz w:val="20"/>
          <w:szCs w:val="20"/>
        </w:rPr>
      </w:pPr>
    </w:p>
    <w:p w14:paraId="2FBB03EA" w14:textId="4362D3ED" w:rsidR="008425F4" w:rsidRDefault="008425F4" w:rsidP="008425F4">
      <w:pPr>
        <w:pStyle w:val="Listeavsnitt"/>
        <w:spacing w:after="0"/>
        <w:rPr>
          <w:rFonts w:ascii="Arial" w:eastAsiaTheme="minorHAnsi" w:hAnsi="Arial" w:cs="Arial"/>
          <w:sz w:val="20"/>
          <w:szCs w:val="20"/>
          <w:lang w:val="en-US" w:eastAsia="nb-NO"/>
        </w:rPr>
      </w:pPr>
      <w:r>
        <w:rPr>
          <w:rFonts w:ascii="Arial" w:eastAsiaTheme="minorHAnsi" w:hAnsi="Arial" w:cs="Arial"/>
          <w:sz w:val="20"/>
          <w:szCs w:val="20"/>
          <w:lang w:val="en-US" w:eastAsia="nb-NO"/>
        </w:rPr>
        <w:t xml:space="preserve">In the TNC reporting table T2, item </w:t>
      </w:r>
      <w:r w:rsidRPr="00DA18B4">
        <w:rPr>
          <w:rFonts w:ascii="Arial" w:eastAsiaTheme="minorHAnsi" w:hAnsi="Arial" w:cs="Arial"/>
          <w:sz w:val="20"/>
          <w:szCs w:val="20"/>
          <w:lang w:val="en-US" w:eastAsia="nb-NO"/>
        </w:rPr>
        <w:t xml:space="preserve">13.14 </w:t>
      </w:r>
      <w:r>
        <w:rPr>
          <w:rFonts w:ascii="Arial" w:eastAsiaTheme="minorHAnsi" w:hAnsi="Arial" w:cs="Arial"/>
          <w:sz w:val="20"/>
          <w:szCs w:val="20"/>
          <w:lang w:val="en-US" w:eastAsia="nb-NO"/>
        </w:rPr>
        <w:t>r</w:t>
      </w:r>
      <w:r w:rsidRPr="00DA18B4">
        <w:rPr>
          <w:rFonts w:ascii="Arial" w:eastAsiaTheme="minorHAnsi" w:hAnsi="Arial" w:cs="Arial"/>
          <w:sz w:val="20"/>
          <w:szCs w:val="20"/>
          <w:lang w:val="en-US" w:eastAsia="nb-NO"/>
        </w:rPr>
        <w:t>eduction as per Art. 29(6)</w:t>
      </w:r>
      <w:r w:rsidRPr="000913CE">
        <w:rPr>
          <w:rFonts w:ascii="Arial" w:eastAsiaTheme="minorHAnsi" w:hAnsi="Arial" w:cs="Arial"/>
          <w:sz w:val="20"/>
          <w:szCs w:val="20"/>
          <w:lang w:val="en-US" w:eastAsia="nb-NO"/>
        </w:rPr>
        <w:t xml:space="preserve">) </w:t>
      </w:r>
      <w:r>
        <w:rPr>
          <w:rFonts w:ascii="Arial" w:eastAsiaTheme="minorHAnsi" w:hAnsi="Arial" w:cs="Arial"/>
          <w:sz w:val="20"/>
          <w:szCs w:val="20"/>
          <w:lang w:val="en-US" w:eastAsia="nb-NO"/>
        </w:rPr>
        <w:t xml:space="preserve">for combined year </w:t>
      </w:r>
      <w:r w:rsidRPr="000913CE">
        <w:rPr>
          <w:rFonts w:ascii="Arial" w:eastAsiaTheme="minorHAnsi" w:hAnsi="Arial" w:cs="Arial"/>
          <w:sz w:val="20"/>
          <w:szCs w:val="20"/>
          <w:lang w:val="en-US" w:eastAsia="nb-NO"/>
        </w:rPr>
        <w:t>2</w:t>
      </w:r>
      <w:r>
        <w:rPr>
          <w:rFonts w:ascii="Arial" w:eastAsiaTheme="minorHAnsi" w:hAnsi="Arial" w:cs="Arial"/>
          <w:sz w:val="20"/>
          <w:szCs w:val="20"/>
          <w:lang w:val="en-US" w:eastAsia="nb-NO"/>
        </w:rPr>
        <w:t xml:space="preserve">020/2021 amounts to -1571,57 NOK/SU shows the effect of the revenue losses </w:t>
      </w:r>
      <w:r w:rsidR="003325DD">
        <w:rPr>
          <w:rFonts w:ascii="Arial" w:eastAsiaTheme="minorHAnsi" w:hAnsi="Arial" w:cs="Arial"/>
          <w:sz w:val="20"/>
          <w:szCs w:val="20"/>
          <w:lang w:val="en-US" w:eastAsia="nb-NO"/>
        </w:rPr>
        <w:t xml:space="preserve">(429,9 MNOK) </w:t>
      </w:r>
      <w:r>
        <w:rPr>
          <w:rFonts w:ascii="Arial" w:eastAsiaTheme="minorHAnsi" w:hAnsi="Arial" w:cs="Arial"/>
          <w:sz w:val="20"/>
          <w:szCs w:val="20"/>
          <w:lang w:val="en-US" w:eastAsia="nb-NO"/>
        </w:rPr>
        <w:t xml:space="preserve">both from item 13.7 </w:t>
      </w:r>
      <w:r w:rsidRPr="00CD542F">
        <w:rPr>
          <w:rFonts w:ascii="Arial" w:eastAsiaTheme="minorHAnsi" w:hAnsi="Arial" w:cs="Arial"/>
          <w:sz w:val="20"/>
          <w:szCs w:val="20"/>
          <w:lang w:val="en-US" w:eastAsia="nb-NO"/>
        </w:rPr>
        <w:t>Traffic adjustments</w:t>
      </w:r>
      <w:r>
        <w:rPr>
          <w:rFonts w:ascii="Arial" w:eastAsiaTheme="minorHAnsi" w:hAnsi="Arial" w:cs="Arial"/>
          <w:sz w:val="20"/>
          <w:szCs w:val="20"/>
          <w:lang w:val="en-US" w:eastAsia="nb-NO"/>
        </w:rPr>
        <w:t xml:space="preserve"> of 56,3 MNOK to be carried forward to 2022 and 2023, and from item 13.10 d</w:t>
      </w:r>
      <w:r w:rsidRPr="00CD542F">
        <w:rPr>
          <w:rFonts w:ascii="Arial" w:eastAsiaTheme="minorHAnsi" w:hAnsi="Arial" w:cs="Arial"/>
          <w:sz w:val="20"/>
          <w:szCs w:val="20"/>
          <w:lang w:val="en-US" w:eastAsia="nb-NO"/>
        </w:rPr>
        <w:t>ifference in revenue from temporary application of unit rate</w:t>
      </w:r>
      <w:r>
        <w:rPr>
          <w:rFonts w:ascii="Arial" w:eastAsiaTheme="minorHAnsi" w:hAnsi="Arial" w:cs="Arial"/>
          <w:sz w:val="20"/>
          <w:szCs w:val="20"/>
          <w:lang w:val="en-US" w:eastAsia="nb-NO"/>
        </w:rPr>
        <w:t xml:space="preserve"> of 373,5 MNOK not to be carried forward to 2023-2029.</w:t>
      </w:r>
    </w:p>
    <w:p w14:paraId="61B993B1" w14:textId="2763DDFF" w:rsidR="008425F4" w:rsidRDefault="008425F4" w:rsidP="0029794E">
      <w:pPr>
        <w:pStyle w:val="Default"/>
        <w:jc w:val="both"/>
        <w:rPr>
          <w:rFonts w:ascii="Arial" w:hAnsi="Arial" w:cs="Arial"/>
          <w:color w:val="17365D"/>
          <w:sz w:val="20"/>
          <w:szCs w:val="20"/>
        </w:rPr>
      </w:pPr>
    </w:p>
    <w:p w14:paraId="3D483A4E" w14:textId="77777777" w:rsidR="008425F4" w:rsidRDefault="008425F4" w:rsidP="0029794E">
      <w:pPr>
        <w:pStyle w:val="Default"/>
        <w:jc w:val="both"/>
        <w:rPr>
          <w:rFonts w:ascii="Arial" w:hAnsi="Arial" w:cs="Arial"/>
          <w:color w:val="17365D"/>
          <w:sz w:val="20"/>
          <w:szCs w:val="20"/>
        </w:rPr>
      </w:pPr>
    </w:p>
    <w:p w14:paraId="725A9072" w14:textId="77777777" w:rsidR="008425F4" w:rsidRDefault="008425F4">
      <w:pPr>
        <w:spacing w:before="0" w:after="200" w:line="276" w:lineRule="auto"/>
        <w:jc w:val="left"/>
        <w:rPr>
          <w:rFonts w:ascii="Arial" w:eastAsiaTheme="minorHAnsi" w:hAnsi="Arial" w:cs="Arial"/>
          <w:color w:val="000000"/>
          <w:sz w:val="20"/>
          <w:szCs w:val="20"/>
          <w:lang w:val="en-US" w:eastAsia="nb-NO"/>
        </w:rPr>
      </w:pPr>
      <w:r>
        <w:rPr>
          <w:rFonts w:ascii="Arial" w:eastAsiaTheme="minorHAnsi" w:hAnsi="Arial" w:cs="Arial"/>
          <w:color w:val="000000"/>
          <w:sz w:val="20"/>
          <w:szCs w:val="20"/>
          <w:lang w:val="en-US" w:eastAsia="nb-NO"/>
        </w:rPr>
        <w:br w:type="page"/>
      </w:r>
    </w:p>
    <w:p w14:paraId="6E4A08D2" w14:textId="62C9CA16" w:rsidR="00996D5B" w:rsidRDefault="00996D5B" w:rsidP="00996D5B">
      <w:pPr>
        <w:rPr>
          <w:rFonts w:ascii="Arial" w:eastAsiaTheme="minorHAnsi" w:hAnsi="Arial" w:cs="Arial"/>
          <w:color w:val="000000"/>
          <w:sz w:val="20"/>
          <w:szCs w:val="20"/>
          <w:lang w:val="en-US" w:eastAsia="nb-NO"/>
        </w:rPr>
      </w:pPr>
      <w:r w:rsidRPr="00476671">
        <w:rPr>
          <w:rFonts w:ascii="Arial" w:eastAsiaTheme="minorHAnsi" w:hAnsi="Arial" w:cs="Arial"/>
          <w:color w:val="000000"/>
          <w:sz w:val="20"/>
          <w:szCs w:val="20"/>
          <w:lang w:val="en-US" w:eastAsia="nb-NO"/>
        </w:rPr>
        <w:lastRenderedPageBreak/>
        <w:t>To mitigate the consequences of the pandemic on the aviation industry the Norwegian Ministry of Transport has made the following decisions:</w:t>
      </w:r>
    </w:p>
    <w:p w14:paraId="2941593A" w14:textId="77777777" w:rsidR="00996D5B" w:rsidRPr="00476671" w:rsidRDefault="00996D5B" w:rsidP="00996D5B">
      <w:pPr>
        <w:rPr>
          <w:rFonts w:ascii="Arial" w:eastAsiaTheme="minorHAnsi" w:hAnsi="Arial" w:cs="Arial"/>
          <w:color w:val="000000"/>
          <w:sz w:val="20"/>
          <w:szCs w:val="20"/>
          <w:lang w:val="en-US" w:eastAsia="nb-NO"/>
        </w:rPr>
      </w:pPr>
    </w:p>
    <w:p w14:paraId="4B08C024" w14:textId="568C2772" w:rsidR="00996D5B" w:rsidRDefault="00996D5B" w:rsidP="00996D5B">
      <w:pPr>
        <w:pStyle w:val="Listeavsnitt"/>
        <w:numPr>
          <w:ilvl w:val="0"/>
          <w:numId w:val="10"/>
        </w:numPr>
        <w:rPr>
          <w:rFonts w:ascii="Arial" w:eastAsiaTheme="minorHAnsi" w:hAnsi="Arial" w:cs="Arial"/>
          <w:sz w:val="20"/>
          <w:szCs w:val="20"/>
          <w:lang w:val="en-US" w:eastAsia="nb-NO"/>
        </w:rPr>
      </w:pPr>
      <w:r w:rsidRPr="000223CD">
        <w:rPr>
          <w:rFonts w:ascii="Arial" w:eastAsiaTheme="minorHAnsi" w:hAnsi="Arial" w:cs="Arial"/>
          <w:sz w:val="20"/>
          <w:szCs w:val="20"/>
          <w:lang w:val="en-US" w:eastAsia="nb-NO"/>
        </w:rPr>
        <w:t xml:space="preserve">With reference to (EU)2019/317 Article 29(6), the terminal unit rates for 2022 will be kept unchanged in real terms compared to the previous year. With an expected inflation rate of </w:t>
      </w:r>
      <w:r w:rsidRPr="0048297A">
        <w:rPr>
          <w:rFonts w:ascii="Arial" w:eastAsiaTheme="minorHAnsi" w:hAnsi="Arial" w:cs="Arial"/>
          <w:sz w:val="20"/>
          <w:szCs w:val="20"/>
          <w:lang w:val="en-US" w:eastAsia="nb-NO"/>
        </w:rPr>
        <w:t>1,9 % according to Statistics Norway</w:t>
      </w:r>
      <w:r w:rsidRPr="000223CD">
        <w:rPr>
          <w:rFonts w:ascii="Arial" w:eastAsiaTheme="minorHAnsi" w:hAnsi="Arial" w:cs="Arial"/>
          <w:sz w:val="20"/>
          <w:szCs w:val="20"/>
          <w:lang w:val="en-US" w:eastAsia="nb-NO"/>
        </w:rPr>
        <w:t xml:space="preserve"> the TNC unit rate is re-calculated to 1921,59 NOK/SU, a reduction as per Art. 29(6) of -200,79 NOK/SU. The impact for </w:t>
      </w:r>
      <w:proofErr w:type="spellStart"/>
      <w:r w:rsidRPr="000223CD">
        <w:rPr>
          <w:rFonts w:ascii="Arial" w:eastAsiaTheme="minorHAnsi" w:hAnsi="Arial" w:cs="Arial"/>
          <w:sz w:val="20"/>
          <w:szCs w:val="20"/>
          <w:lang w:val="en-US" w:eastAsia="nb-NO"/>
        </w:rPr>
        <w:t>Avinor</w:t>
      </w:r>
      <w:proofErr w:type="spellEnd"/>
      <w:r w:rsidRPr="000223CD">
        <w:rPr>
          <w:rFonts w:ascii="Arial" w:eastAsiaTheme="minorHAnsi" w:hAnsi="Arial" w:cs="Arial"/>
          <w:sz w:val="20"/>
          <w:szCs w:val="20"/>
          <w:lang w:val="en-US" w:eastAsia="nb-NO"/>
        </w:rPr>
        <w:t xml:space="preserve"> AS is an expected revenue loss (deficit) for the TNC services of 41,1 MNOK in 2022, compared with the unit rate set in accordance with (EU) 2019/317, Article 25 (2)</w:t>
      </w:r>
    </w:p>
    <w:p w14:paraId="59D22711" w14:textId="77777777" w:rsidR="0048297A" w:rsidRDefault="0048297A" w:rsidP="0048297A">
      <w:pPr>
        <w:pStyle w:val="Listeavsnitt"/>
        <w:ind w:left="360"/>
        <w:rPr>
          <w:rFonts w:ascii="Arial" w:eastAsiaTheme="minorHAnsi" w:hAnsi="Arial" w:cs="Arial"/>
          <w:sz w:val="20"/>
          <w:szCs w:val="20"/>
          <w:lang w:val="en-US" w:eastAsia="nb-NO"/>
        </w:rPr>
      </w:pPr>
    </w:p>
    <w:p w14:paraId="17E99A68" w14:textId="56A73705" w:rsidR="0048297A" w:rsidRPr="0048297A" w:rsidRDefault="00566B7A" w:rsidP="0048297A">
      <w:pPr>
        <w:ind w:left="360"/>
        <w:rPr>
          <w:rFonts w:ascii="Arial" w:eastAsiaTheme="minorHAnsi" w:hAnsi="Arial" w:cs="Arial"/>
          <w:sz w:val="20"/>
          <w:szCs w:val="20"/>
          <w:lang w:val="en-US" w:eastAsia="nb-NO"/>
        </w:rPr>
      </w:pPr>
      <w:r>
        <w:rPr>
          <w:rFonts w:ascii="Arial" w:eastAsiaTheme="minorHAnsi" w:hAnsi="Arial" w:cs="Arial"/>
          <w:sz w:val="20"/>
          <w:szCs w:val="20"/>
          <w:lang w:val="en-US" w:eastAsia="nb-NO"/>
        </w:rPr>
        <w:object w:dxaOrig="1539" w:dyaOrig="997" w14:anchorId="42EE9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AcroExch.Document.11" ShapeID="_x0000_i1025" DrawAspect="Icon" ObjectID="_1698476174" r:id="rId14"/>
        </w:object>
      </w:r>
    </w:p>
    <w:p w14:paraId="29BFF627" w14:textId="77777777" w:rsidR="00996D5B" w:rsidRPr="000223CD" w:rsidRDefault="00996D5B" w:rsidP="00996D5B">
      <w:pPr>
        <w:pStyle w:val="Default"/>
        <w:jc w:val="both"/>
        <w:rPr>
          <w:rFonts w:ascii="Arial" w:eastAsiaTheme="minorHAnsi" w:hAnsi="Arial" w:cs="Arial"/>
          <w:sz w:val="20"/>
          <w:szCs w:val="20"/>
          <w:lang w:val="en-US" w:eastAsia="nb-NO"/>
        </w:rPr>
      </w:pPr>
    </w:p>
    <w:p w14:paraId="4452FE2D" w14:textId="1764592E" w:rsidR="00996D5B" w:rsidRDefault="00996D5B" w:rsidP="00996D5B">
      <w:pPr>
        <w:pStyle w:val="Default"/>
        <w:numPr>
          <w:ilvl w:val="0"/>
          <w:numId w:val="10"/>
        </w:numPr>
        <w:jc w:val="both"/>
        <w:rPr>
          <w:rFonts w:ascii="Arial" w:eastAsiaTheme="minorHAnsi" w:hAnsi="Arial" w:cs="Arial"/>
          <w:sz w:val="20"/>
          <w:szCs w:val="20"/>
          <w:lang w:val="en-US" w:eastAsia="nb-NO"/>
        </w:rPr>
      </w:pPr>
      <w:r w:rsidRPr="000223CD">
        <w:rPr>
          <w:rFonts w:ascii="Arial" w:eastAsiaTheme="minorHAnsi" w:hAnsi="Arial" w:cs="Arial"/>
          <w:sz w:val="20"/>
          <w:szCs w:val="20"/>
          <w:lang w:val="en-US" w:eastAsia="nb-NO"/>
        </w:rPr>
        <w:t>With regard to the calculations leading to a determined unit cost/unit rate for the years 2023 and 2024, the Norwegian Ministry of transport reserves the right to decide setting unit rates at a lower level in order to further stimulate the recovery of traffic post covid-19. In that case, this will be communicated in the autumn 2022 (UR 2023) and correspondingly in the autumn 2023 (UR 2024)</w:t>
      </w:r>
    </w:p>
    <w:p w14:paraId="7FBE059C" w14:textId="0678DA0B" w:rsidR="008425F4" w:rsidRDefault="008425F4" w:rsidP="008425F4">
      <w:pPr>
        <w:pStyle w:val="Default"/>
        <w:jc w:val="both"/>
        <w:rPr>
          <w:rFonts w:ascii="Arial" w:eastAsiaTheme="minorHAnsi" w:hAnsi="Arial" w:cs="Arial"/>
          <w:sz w:val="20"/>
          <w:szCs w:val="20"/>
          <w:lang w:val="en-US" w:eastAsia="nb-NO"/>
        </w:rPr>
      </w:pPr>
    </w:p>
    <w:p w14:paraId="655182EE" w14:textId="77777777" w:rsidR="008425F4" w:rsidRPr="000223CD" w:rsidRDefault="008425F4" w:rsidP="008425F4">
      <w:pPr>
        <w:pStyle w:val="Default"/>
        <w:jc w:val="both"/>
        <w:rPr>
          <w:rFonts w:ascii="Arial" w:eastAsiaTheme="minorHAnsi" w:hAnsi="Arial" w:cs="Arial"/>
          <w:sz w:val="20"/>
          <w:szCs w:val="20"/>
          <w:lang w:val="en-US" w:eastAsia="nb-NO"/>
        </w:rPr>
      </w:pPr>
    </w:p>
    <w:p w14:paraId="01C0530F" w14:textId="77777777" w:rsidR="0025507D" w:rsidRDefault="008425F4">
      <w:pPr>
        <w:spacing w:before="0" w:after="200" w:line="276" w:lineRule="auto"/>
        <w:jc w:val="left"/>
        <w:rPr>
          <w:rFonts w:ascii="Arial" w:hAnsi="Arial" w:cs="Arial"/>
          <w:color w:val="17365D"/>
          <w:sz w:val="20"/>
          <w:szCs w:val="20"/>
        </w:rPr>
      </w:pPr>
      <w:r w:rsidRPr="008425F4">
        <w:rPr>
          <w:noProof/>
        </w:rPr>
        <w:drawing>
          <wp:inline distT="0" distB="0" distL="0" distR="0" wp14:anchorId="63851D62" wp14:editId="10898325">
            <wp:extent cx="5759450" cy="19875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987550"/>
                    </a:xfrm>
                    <a:prstGeom prst="rect">
                      <a:avLst/>
                    </a:prstGeom>
                    <a:noFill/>
                    <a:ln>
                      <a:noFill/>
                    </a:ln>
                  </pic:spPr>
                </pic:pic>
              </a:graphicData>
            </a:graphic>
          </wp:inline>
        </w:drawing>
      </w:r>
      <w:r w:rsidR="0025507D" w:rsidRPr="0025507D">
        <w:rPr>
          <w:rFonts w:ascii="Arial" w:hAnsi="Arial" w:cs="Arial"/>
          <w:color w:val="17365D"/>
          <w:sz w:val="20"/>
          <w:szCs w:val="20"/>
        </w:rPr>
        <w:t xml:space="preserve"> </w:t>
      </w:r>
    </w:p>
    <w:p w14:paraId="04A81A30" w14:textId="1BFE3191" w:rsidR="0025507D" w:rsidRDefault="0025507D">
      <w:pPr>
        <w:spacing w:before="0" w:after="200" w:line="276" w:lineRule="auto"/>
        <w:jc w:val="left"/>
        <w:rPr>
          <w:rFonts w:ascii="Arial" w:hAnsi="Arial" w:cs="Arial"/>
          <w:color w:val="17365D"/>
          <w:sz w:val="20"/>
          <w:szCs w:val="20"/>
        </w:rPr>
      </w:pPr>
      <w:r w:rsidRPr="0025507D">
        <w:rPr>
          <w:noProof/>
        </w:rPr>
        <w:drawing>
          <wp:inline distT="0" distB="0" distL="0" distR="0" wp14:anchorId="763CBD8D" wp14:editId="4C5021B2">
            <wp:extent cx="5759450" cy="1388110"/>
            <wp:effectExtent l="19050" t="19050" r="12700" b="2159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388110"/>
                    </a:xfrm>
                    <a:prstGeom prst="rect">
                      <a:avLst/>
                    </a:prstGeom>
                    <a:noFill/>
                    <a:ln w="3175">
                      <a:solidFill>
                        <a:schemeClr val="tx1"/>
                      </a:solidFill>
                    </a:ln>
                  </pic:spPr>
                </pic:pic>
              </a:graphicData>
            </a:graphic>
          </wp:inline>
        </w:drawing>
      </w:r>
    </w:p>
    <w:p w14:paraId="2728B0A2" w14:textId="5F0D041A" w:rsidR="0025507D" w:rsidRDefault="0025507D">
      <w:pPr>
        <w:spacing w:before="0" w:after="200" w:line="276" w:lineRule="auto"/>
        <w:jc w:val="left"/>
        <w:rPr>
          <w:rFonts w:ascii="Arial" w:hAnsi="Arial" w:cs="Arial"/>
          <w:color w:val="17365D"/>
          <w:sz w:val="20"/>
          <w:szCs w:val="20"/>
        </w:rPr>
      </w:pPr>
    </w:p>
    <w:p w14:paraId="11633DB4" w14:textId="77777777" w:rsidR="0025507D" w:rsidRDefault="0025507D">
      <w:pPr>
        <w:spacing w:before="0" w:after="200" w:line="276" w:lineRule="auto"/>
        <w:jc w:val="left"/>
        <w:rPr>
          <w:rFonts w:ascii="Arial" w:hAnsi="Arial" w:cs="Arial"/>
          <w:color w:val="17365D"/>
          <w:sz w:val="20"/>
          <w:szCs w:val="20"/>
        </w:rPr>
      </w:pPr>
    </w:p>
    <w:p w14:paraId="0B246DB3" w14:textId="6C367349" w:rsidR="0025507D" w:rsidRDefault="0025507D">
      <w:pPr>
        <w:spacing w:before="0" w:after="200" w:line="276" w:lineRule="auto"/>
        <w:jc w:val="left"/>
      </w:pPr>
    </w:p>
    <w:p w14:paraId="7FF19F11" w14:textId="6665FB3A" w:rsidR="0025507D" w:rsidRDefault="0025507D">
      <w:pPr>
        <w:spacing w:before="0" w:after="200" w:line="276" w:lineRule="auto"/>
        <w:jc w:val="left"/>
      </w:pPr>
    </w:p>
    <w:p w14:paraId="7163DD7F" w14:textId="77777777" w:rsidR="0025507D" w:rsidRDefault="0025507D">
      <w:pPr>
        <w:spacing w:before="0" w:after="200" w:line="276" w:lineRule="auto"/>
        <w:jc w:val="left"/>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170F1E66" w14:textId="77777777" w:rsidTr="0025507D">
        <w:tc>
          <w:tcPr>
            <w:tcW w:w="9060" w:type="dxa"/>
            <w:shd w:val="clear" w:color="auto" w:fill="92D050"/>
          </w:tcPr>
          <w:p w14:paraId="4C594093"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lastRenderedPageBreak/>
              <w:t>k</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and breakdown of the adjustments relating to previous reference periods impacting the unit rate calculation</w:t>
            </w:r>
            <w:r w:rsidRPr="00556F7D">
              <w:rPr>
                <w:rFonts w:ascii="Arial" w:hAnsi="Arial" w:cs="Arial"/>
                <w:b/>
                <w:color w:val="17365D"/>
                <w:sz w:val="20"/>
                <w:szCs w:val="20"/>
              </w:rPr>
              <w:t>;</w:t>
            </w:r>
          </w:p>
        </w:tc>
      </w:tr>
    </w:tbl>
    <w:p w14:paraId="682E01C8" w14:textId="43E5DCE6" w:rsidR="00977A44" w:rsidRDefault="00DA6212">
      <w:pPr>
        <w:spacing w:before="0" w:after="200" w:line="276" w:lineRule="auto"/>
        <w:jc w:val="left"/>
      </w:pPr>
      <w:r w:rsidRPr="00DA6212">
        <w:t xml:space="preserve"> </w:t>
      </w:r>
    </w:p>
    <w:p w14:paraId="605BC699" w14:textId="578A237E" w:rsidR="004734B9" w:rsidRDefault="004734B9">
      <w:pPr>
        <w:spacing w:before="0" w:after="200" w:line="276" w:lineRule="auto"/>
        <w:jc w:val="left"/>
      </w:pPr>
      <w:r w:rsidRPr="004734B9">
        <w:rPr>
          <w:rFonts w:eastAsia="Calibri"/>
          <w:noProof/>
        </w:rPr>
        <w:drawing>
          <wp:inline distT="0" distB="0" distL="0" distR="0" wp14:anchorId="69808651" wp14:editId="11D6A7FF">
            <wp:extent cx="5210908" cy="7716396"/>
            <wp:effectExtent l="0" t="0" r="889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4997" cy="7722450"/>
                    </a:xfrm>
                    <a:prstGeom prst="rect">
                      <a:avLst/>
                    </a:prstGeom>
                    <a:noFill/>
                    <a:ln>
                      <a:noFill/>
                    </a:ln>
                  </pic:spPr>
                </pic:pic>
              </a:graphicData>
            </a:graphic>
          </wp:inline>
        </w:drawing>
      </w:r>
    </w:p>
    <w:p w14:paraId="6A7DFAEC" w14:textId="218B2678" w:rsidR="004734B9" w:rsidRDefault="004734B9">
      <w:pPr>
        <w:spacing w:before="0" w:after="200" w:line="276" w:lineRule="auto"/>
        <w:jc w:val="left"/>
      </w:pPr>
      <w:r w:rsidRPr="004734B9">
        <w:rPr>
          <w:noProof/>
        </w:rPr>
        <w:lastRenderedPageBreak/>
        <w:drawing>
          <wp:inline distT="0" distB="0" distL="0" distR="0" wp14:anchorId="5C564E5C" wp14:editId="4EF7AFEC">
            <wp:extent cx="5216769" cy="8624832"/>
            <wp:effectExtent l="0" t="0" r="3175" b="508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7479" cy="8626006"/>
                    </a:xfrm>
                    <a:prstGeom prst="rect">
                      <a:avLst/>
                    </a:prstGeom>
                    <a:noFill/>
                    <a:ln>
                      <a:noFill/>
                    </a:ln>
                  </pic:spPr>
                </pic:pic>
              </a:graphicData>
            </a:graphic>
          </wp:inline>
        </w:drawing>
      </w:r>
    </w:p>
    <w:p w14:paraId="4729AF19" w14:textId="2D1DBCA1" w:rsidR="001E265D" w:rsidRPr="00311682" w:rsidRDefault="0087262C" w:rsidP="001E265D">
      <w:pPr>
        <w:pStyle w:val="xdefault"/>
        <w:rPr>
          <w:rFonts w:ascii="Arial" w:eastAsia="Calibri" w:hAnsi="Arial" w:cs="Arial"/>
          <w:b/>
          <w:bCs/>
          <w:color w:val="auto"/>
          <w:sz w:val="20"/>
          <w:szCs w:val="20"/>
          <w:lang w:val="en-GB"/>
        </w:rPr>
      </w:pPr>
      <w:bookmarkStart w:id="2" w:name="_Hlk83801419"/>
      <w:r>
        <w:rPr>
          <w:rFonts w:ascii="Arial" w:eastAsia="Calibri" w:hAnsi="Arial" w:cs="Arial"/>
          <w:b/>
          <w:bCs/>
          <w:color w:val="auto"/>
          <w:sz w:val="20"/>
          <w:szCs w:val="20"/>
          <w:lang w:val="en-GB"/>
        </w:rPr>
        <w:lastRenderedPageBreak/>
        <w:t>General information Covid-19 measures</w:t>
      </w:r>
    </w:p>
    <w:bookmarkEnd w:id="2"/>
    <w:p w14:paraId="18F73331" w14:textId="77777777" w:rsidR="00021322" w:rsidRPr="00483CE8" w:rsidRDefault="00021322" w:rsidP="00021322">
      <w:pPr>
        <w:rPr>
          <w:rFonts w:ascii="Arial" w:eastAsiaTheme="minorHAnsi" w:hAnsi="Arial" w:cs="Arial"/>
          <w:color w:val="000000"/>
          <w:sz w:val="20"/>
          <w:szCs w:val="20"/>
          <w:lang w:val="en-US" w:eastAsia="nb-NO"/>
        </w:rPr>
      </w:pPr>
      <w:r w:rsidRPr="00483CE8">
        <w:rPr>
          <w:rFonts w:ascii="Arial" w:eastAsiaTheme="minorHAnsi" w:hAnsi="Arial" w:cs="Arial"/>
          <w:color w:val="000000"/>
          <w:sz w:val="20"/>
          <w:szCs w:val="20"/>
          <w:lang w:val="en-US" w:eastAsia="nb-NO"/>
        </w:rPr>
        <w:t xml:space="preserve">The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Group comprises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AS, that operates the majority of the Norwegian airports, and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w:t>
      </w:r>
      <w:proofErr w:type="spellStart"/>
      <w:r w:rsidRPr="00483CE8">
        <w:rPr>
          <w:rFonts w:ascii="Arial" w:eastAsiaTheme="minorHAnsi" w:hAnsi="Arial" w:cs="Arial"/>
          <w:color w:val="000000"/>
          <w:sz w:val="20"/>
          <w:szCs w:val="20"/>
          <w:lang w:val="en-US" w:eastAsia="nb-NO"/>
        </w:rPr>
        <w:t>Flysikring</w:t>
      </w:r>
      <w:proofErr w:type="spellEnd"/>
      <w:r w:rsidRPr="00483CE8">
        <w:rPr>
          <w:rFonts w:ascii="Arial" w:eastAsiaTheme="minorHAnsi" w:hAnsi="Arial" w:cs="Arial"/>
          <w:color w:val="000000"/>
          <w:sz w:val="20"/>
          <w:szCs w:val="20"/>
          <w:lang w:val="en-US" w:eastAsia="nb-NO"/>
        </w:rPr>
        <w:t xml:space="preserve"> AS, the ANS provider.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w:t>
      </w:r>
      <w:proofErr w:type="spellStart"/>
      <w:r w:rsidRPr="00483CE8">
        <w:rPr>
          <w:rFonts w:ascii="Arial" w:eastAsiaTheme="minorHAnsi" w:hAnsi="Arial" w:cs="Arial"/>
          <w:color w:val="000000"/>
          <w:sz w:val="20"/>
          <w:szCs w:val="20"/>
          <w:lang w:val="en-US" w:eastAsia="nb-NO"/>
        </w:rPr>
        <w:t>Flysikring</w:t>
      </w:r>
      <w:proofErr w:type="spellEnd"/>
      <w:r w:rsidRPr="00483CE8">
        <w:rPr>
          <w:rFonts w:ascii="Arial" w:eastAsiaTheme="minorHAnsi" w:hAnsi="Arial" w:cs="Arial"/>
          <w:color w:val="000000"/>
          <w:sz w:val="20"/>
          <w:szCs w:val="20"/>
          <w:lang w:val="en-US" w:eastAsia="nb-NO"/>
        </w:rPr>
        <w:t xml:space="preserve"> AS is a subsidiary of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AS. </w:t>
      </w:r>
    </w:p>
    <w:p w14:paraId="5E73AE60" w14:textId="77777777" w:rsidR="00021322" w:rsidRPr="00483CE8" w:rsidRDefault="00021322" w:rsidP="00021322">
      <w:pPr>
        <w:rPr>
          <w:rFonts w:ascii="Arial" w:eastAsiaTheme="minorHAnsi" w:hAnsi="Arial" w:cs="Arial"/>
          <w:color w:val="000000"/>
          <w:sz w:val="20"/>
          <w:szCs w:val="20"/>
          <w:lang w:val="en-US" w:eastAsia="nb-NO"/>
        </w:rPr>
      </w:pPr>
      <w:r w:rsidRPr="00483CE8">
        <w:rPr>
          <w:rFonts w:ascii="Arial" w:eastAsiaTheme="minorHAnsi" w:hAnsi="Arial" w:cs="Arial"/>
          <w:color w:val="000000"/>
          <w:sz w:val="20"/>
          <w:szCs w:val="20"/>
          <w:lang w:val="en-US" w:eastAsia="nb-NO"/>
        </w:rPr>
        <w:t xml:space="preserve">Financial support has been provided to the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group by its owner in 2020 and 2021</w:t>
      </w:r>
      <w:r>
        <w:rPr>
          <w:rFonts w:ascii="Arial" w:eastAsiaTheme="minorHAnsi" w:hAnsi="Arial" w:cs="Arial"/>
          <w:color w:val="000000"/>
          <w:sz w:val="20"/>
          <w:szCs w:val="20"/>
          <w:lang w:val="en-US" w:eastAsia="nb-NO"/>
        </w:rPr>
        <w:t xml:space="preserve"> </w:t>
      </w:r>
      <w:r w:rsidRPr="00483CE8">
        <w:rPr>
          <w:rFonts w:ascii="Arial" w:eastAsiaTheme="minorHAnsi" w:hAnsi="Arial" w:cs="Arial"/>
          <w:color w:val="000000"/>
          <w:sz w:val="20"/>
          <w:szCs w:val="20"/>
          <w:lang w:val="en-US" w:eastAsia="nb-NO"/>
        </w:rPr>
        <w:t>to strengthen the group’s solidity to mitigate weakened credit metrics due to Covid-19.</w:t>
      </w:r>
    </w:p>
    <w:p w14:paraId="13EEB58E" w14:textId="77777777" w:rsidR="00224278" w:rsidRPr="00977A44" w:rsidRDefault="00224278" w:rsidP="00224278">
      <w:pPr>
        <w:pStyle w:val="xdefault"/>
        <w:rPr>
          <w:b/>
          <w:bCs/>
          <w:lang w:val="en-GB"/>
        </w:rPr>
      </w:pPr>
      <w:r w:rsidRPr="00977A44">
        <w:rPr>
          <w:rFonts w:ascii="Arial" w:hAnsi="Arial" w:cs="Arial"/>
          <w:b/>
          <w:bCs/>
          <w:sz w:val="20"/>
          <w:szCs w:val="20"/>
          <w:lang w:val="en-GB"/>
        </w:rPr>
        <w:t xml:space="preserve">From </w:t>
      </w:r>
      <w:proofErr w:type="spellStart"/>
      <w:r w:rsidRPr="00977A44">
        <w:rPr>
          <w:rFonts w:ascii="Arial" w:hAnsi="Arial" w:cs="Arial"/>
          <w:b/>
          <w:bCs/>
          <w:sz w:val="20"/>
          <w:szCs w:val="20"/>
          <w:lang w:val="en-GB"/>
        </w:rPr>
        <w:t>Avinor’s</w:t>
      </w:r>
      <w:proofErr w:type="spellEnd"/>
      <w:r w:rsidRPr="00977A44">
        <w:rPr>
          <w:rFonts w:ascii="Arial" w:hAnsi="Arial" w:cs="Arial"/>
          <w:b/>
          <w:bCs/>
          <w:sz w:val="20"/>
          <w:szCs w:val="20"/>
          <w:lang w:val="en-GB"/>
        </w:rPr>
        <w:t xml:space="preserve"> annual and sustainability report 2020:</w:t>
      </w:r>
    </w:p>
    <w:p w14:paraId="47B7B6BE" w14:textId="3600A017" w:rsidR="00224278" w:rsidRPr="006B4B06" w:rsidRDefault="00224278" w:rsidP="00224278">
      <w:pPr>
        <w:pStyle w:val="xdefault"/>
        <w:rPr>
          <w:i/>
          <w:iCs/>
          <w:lang w:val="en-GB"/>
        </w:rPr>
      </w:pPr>
      <w:r w:rsidRPr="006B4B06">
        <w:rPr>
          <w:rFonts w:ascii="Arial" w:hAnsi="Arial" w:cs="Arial"/>
          <w:i/>
          <w:iCs/>
          <w:sz w:val="20"/>
          <w:szCs w:val="20"/>
          <w:lang w:val="en-GB"/>
        </w:rPr>
        <w:t xml:space="preserve">“The loss of traffic caused a significant drop in revenues due to heavy falls in passenger numbers, as well as the Norwegian authorities largely opting to suspend fees due to </w:t>
      </w:r>
      <w:proofErr w:type="spellStart"/>
      <w:r w:rsidRPr="006B4B06">
        <w:rPr>
          <w:rFonts w:ascii="Arial" w:hAnsi="Arial" w:cs="Arial"/>
          <w:i/>
          <w:iCs/>
          <w:sz w:val="20"/>
          <w:szCs w:val="20"/>
          <w:lang w:val="en-GB"/>
        </w:rPr>
        <w:t>Avinor</w:t>
      </w:r>
      <w:proofErr w:type="spellEnd"/>
      <w:r w:rsidRPr="006B4B06">
        <w:rPr>
          <w:rFonts w:ascii="Arial" w:hAnsi="Arial" w:cs="Arial"/>
          <w:i/>
          <w:iCs/>
          <w:sz w:val="20"/>
          <w:szCs w:val="20"/>
          <w:lang w:val="en-GB"/>
        </w:rPr>
        <w:t xml:space="preserve"> for services provided to airlines. </w:t>
      </w:r>
      <w:proofErr w:type="spellStart"/>
      <w:r w:rsidRPr="006B4B06">
        <w:rPr>
          <w:rFonts w:ascii="Arial" w:hAnsi="Arial" w:cs="Arial"/>
          <w:i/>
          <w:iCs/>
          <w:sz w:val="20"/>
          <w:szCs w:val="20"/>
          <w:lang w:val="en-GB"/>
        </w:rPr>
        <w:t>Avinor</w:t>
      </w:r>
      <w:proofErr w:type="spellEnd"/>
      <w:r w:rsidRPr="006B4B06">
        <w:rPr>
          <w:rFonts w:ascii="Arial" w:hAnsi="Arial" w:cs="Arial"/>
          <w:i/>
          <w:iCs/>
          <w:sz w:val="20"/>
          <w:szCs w:val="20"/>
          <w:lang w:val="en-GB"/>
        </w:rPr>
        <w:t xml:space="preserve"> is usually self-financed based on commercial revenues and </w:t>
      </w:r>
      <w:r w:rsidR="00767EE3">
        <w:rPr>
          <w:rFonts w:ascii="Arial" w:hAnsi="Arial" w:cs="Arial"/>
          <w:i/>
          <w:iCs/>
          <w:sz w:val="20"/>
          <w:szCs w:val="20"/>
          <w:lang w:val="en-GB"/>
        </w:rPr>
        <w:t>airport charges</w:t>
      </w:r>
      <w:r w:rsidRPr="006B4B06">
        <w:rPr>
          <w:rFonts w:ascii="Arial" w:hAnsi="Arial" w:cs="Arial"/>
          <w:i/>
          <w:iCs/>
          <w:sz w:val="20"/>
          <w:szCs w:val="20"/>
          <w:lang w:val="en-GB"/>
        </w:rPr>
        <w:t>, but in this situation financial support in the form of an injection of capital was required in order to maintain the Group’s liquidity and equity. The Group’s owner, the Norwegian Ministry</w:t>
      </w:r>
      <w:r w:rsidR="001634F4">
        <w:rPr>
          <w:rFonts w:ascii="Arial" w:hAnsi="Arial" w:cs="Arial"/>
          <w:i/>
          <w:iCs/>
          <w:sz w:val="20"/>
          <w:szCs w:val="20"/>
          <w:lang w:val="en-GB"/>
        </w:rPr>
        <w:t xml:space="preserve"> </w:t>
      </w:r>
      <w:r w:rsidR="001634F4" w:rsidRPr="00476671">
        <w:rPr>
          <w:rFonts w:ascii="Arial" w:hAnsi="Arial" w:cs="Arial"/>
          <w:sz w:val="20"/>
          <w:szCs w:val="20"/>
          <w:lang w:val="en-US"/>
        </w:rPr>
        <w:t>of Transport</w:t>
      </w:r>
      <w:r w:rsidRPr="006B4B06">
        <w:rPr>
          <w:rFonts w:ascii="Arial" w:hAnsi="Arial" w:cs="Arial"/>
          <w:i/>
          <w:iCs/>
          <w:sz w:val="20"/>
          <w:szCs w:val="20"/>
          <w:lang w:val="en-GB"/>
        </w:rPr>
        <w:t xml:space="preserve">, provided support in 2020 amounting to approximately NOK 3.6 billion, and </w:t>
      </w:r>
      <w:proofErr w:type="spellStart"/>
      <w:r w:rsidRPr="006B4B06">
        <w:rPr>
          <w:rFonts w:ascii="Arial" w:hAnsi="Arial" w:cs="Arial"/>
          <w:i/>
          <w:iCs/>
          <w:sz w:val="20"/>
          <w:szCs w:val="20"/>
          <w:lang w:val="en-GB"/>
        </w:rPr>
        <w:t>Avinor</w:t>
      </w:r>
      <w:proofErr w:type="spellEnd"/>
      <w:r w:rsidRPr="006B4B06">
        <w:rPr>
          <w:rFonts w:ascii="Arial" w:hAnsi="Arial" w:cs="Arial"/>
          <w:i/>
          <w:iCs/>
          <w:sz w:val="20"/>
          <w:szCs w:val="20"/>
          <w:lang w:val="en-GB"/>
        </w:rPr>
        <w:t xml:space="preserve"> anticipates that it will remain dependent on support to a similar level throughout 2021. The precise amount will be determined by how quickly the pandemic improves and how quickly passengers resume travel.”</w:t>
      </w:r>
    </w:p>
    <w:p w14:paraId="447C5930" w14:textId="3EEDCD2E" w:rsidR="00021322" w:rsidRDefault="00224278" w:rsidP="00021322">
      <w:pPr>
        <w:rPr>
          <w:rFonts w:ascii="Arial" w:eastAsiaTheme="minorHAnsi" w:hAnsi="Arial" w:cs="Arial"/>
          <w:color w:val="000000"/>
          <w:sz w:val="20"/>
          <w:szCs w:val="20"/>
          <w:lang w:val="en-US" w:eastAsia="nb-NO"/>
        </w:rPr>
      </w:pPr>
      <w:r w:rsidRPr="00311682">
        <w:rPr>
          <w:rFonts w:ascii="Arial" w:hAnsi="Arial" w:cs="Arial"/>
          <w:sz w:val="20"/>
          <w:szCs w:val="20"/>
        </w:rPr>
        <w:br/>
      </w:r>
      <w:r w:rsidR="00021322" w:rsidRPr="00476671">
        <w:rPr>
          <w:rFonts w:ascii="Arial" w:eastAsiaTheme="minorHAnsi" w:hAnsi="Arial" w:cs="Arial"/>
          <w:color w:val="000000"/>
          <w:sz w:val="20"/>
          <w:szCs w:val="20"/>
          <w:lang w:val="en-US" w:eastAsia="nb-NO"/>
        </w:rPr>
        <w:t>To mitigate the consequences of the pandemic on the aviation industry the Norwegian Ministry of Transport has made the following decision:</w:t>
      </w:r>
    </w:p>
    <w:p w14:paraId="0CC6C44A" w14:textId="77777777" w:rsidR="000223CD" w:rsidRPr="000223CD" w:rsidRDefault="000223CD" w:rsidP="000223CD">
      <w:pPr>
        <w:pStyle w:val="Default"/>
        <w:jc w:val="both"/>
        <w:rPr>
          <w:rFonts w:ascii="Arial" w:eastAsiaTheme="minorHAnsi" w:hAnsi="Arial" w:cs="Arial"/>
          <w:sz w:val="20"/>
          <w:szCs w:val="20"/>
          <w:lang w:val="en-US" w:eastAsia="nb-NO"/>
        </w:rPr>
      </w:pPr>
    </w:p>
    <w:p w14:paraId="55431056" w14:textId="18E4C28D" w:rsidR="00021322" w:rsidRPr="007D7347" w:rsidRDefault="007D7347" w:rsidP="00767EE3">
      <w:pPr>
        <w:pStyle w:val="Default"/>
        <w:numPr>
          <w:ilvl w:val="0"/>
          <w:numId w:val="10"/>
        </w:numPr>
        <w:jc w:val="both"/>
        <w:rPr>
          <w:rFonts w:ascii="Arial" w:eastAsiaTheme="minorHAnsi" w:hAnsi="Arial" w:cs="Arial"/>
          <w:sz w:val="20"/>
          <w:szCs w:val="20"/>
          <w:lang w:val="en-US" w:eastAsia="nb-NO"/>
        </w:rPr>
      </w:pPr>
      <w:r>
        <w:rPr>
          <w:rFonts w:ascii="Arial" w:eastAsiaTheme="minorHAnsi" w:hAnsi="Arial" w:cs="Arial"/>
          <w:sz w:val="20"/>
          <w:szCs w:val="20"/>
          <w:lang w:val="en-US" w:eastAsia="nb-NO"/>
        </w:rPr>
        <w:t>In</w:t>
      </w:r>
      <w:r w:rsidRPr="00F17A8E">
        <w:rPr>
          <w:rFonts w:ascii="Arial" w:eastAsiaTheme="minorHAnsi" w:hAnsi="Arial" w:cs="Arial"/>
          <w:sz w:val="20"/>
          <w:szCs w:val="20"/>
          <w:lang w:val="en-US" w:eastAsia="nb-NO"/>
        </w:rPr>
        <w:t xml:space="preserve"> 2020-2021</w:t>
      </w:r>
      <w:r>
        <w:rPr>
          <w:rFonts w:ascii="Arial" w:eastAsiaTheme="minorHAnsi" w:hAnsi="Arial" w:cs="Arial"/>
          <w:sz w:val="20"/>
          <w:szCs w:val="20"/>
          <w:lang w:val="en-US" w:eastAsia="nb-NO"/>
        </w:rPr>
        <w:t xml:space="preserve"> the total</w:t>
      </w:r>
      <w:r w:rsidRPr="00F17A8E">
        <w:rPr>
          <w:rFonts w:ascii="Arial" w:eastAsiaTheme="minorHAnsi" w:hAnsi="Arial" w:cs="Arial"/>
          <w:sz w:val="20"/>
          <w:szCs w:val="20"/>
          <w:lang w:val="en-US" w:eastAsia="nb-NO"/>
        </w:rPr>
        <w:t xml:space="preserve"> </w:t>
      </w:r>
      <w:r>
        <w:rPr>
          <w:rFonts w:ascii="Arial" w:eastAsiaTheme="minorHAnsi" w:hAnsi="Arial" w:cs="Arial"/>
          <w:sz w:val="20"/>
          <w:szCs w:val="20"/>
          <w:lang w:val="en-US" w:eastAsia="nb-NO"/>
        </w:rPr>
        <w:t>TNC revenue loss (</w:t>
      </w:r>
      <w:r w:rsidRPr="00F17A8E">
        <w:rPr>
          <w:rFonts w:ascii="Arial" w:eastAsiaTheme="minorHAnsi" w:hAnsi="Arial" w:cs="Arial"/>
          <w:sz w:val="20"/>
          <w:szCs w:val="20"/>
          <w:lang w:val="en-US" w:eastAsia="nb-NO"/>
        </w:rPr>
        <w:t>deficit</w:t>
      </w:r>
      <w:r>
        <w:rPr>
          <w:rFonts w:ascii="Arial" w:eastAsiaTheme="minorHAnsi" w:hAnsi="Arial" w:cs="Arial"/>
          <w:sz w:val="20"/>
          <w:szCs w:val="20"/>
          <w:lang w:val="en-US" w:eastAsia="nb-NO"/>
        </w:rPr>
        <w:t>)</w:t>
      </w:r>
      <w:r w:rsidRPr="00F17A8E">
        <w:rPr>
          <w:rFonts w:ascii="Arial" w:eastAsiaTheme="minorHAnsi" w:hAnsi="Arial" w:cs="Arial"/>
          <w:sz w:val="20"/>
          <w:szCs w:val="20"/>
          <w:lang w:val="en-US" w:eastAsia="nb-NO"/>
        </w:rPr>
        <w:t xml:space="preserve"> </w:t>
      </w:r>
      <w:r>
        <w:rPr>
          <w:rFonts w:ascii="Arial" w:eastAsiaTheme="minorHAnsi" w:hAnsi="Arial" w:cs="Arial"/>
          <w:sz w:val="20"/>
          <w:szCs w:val="20"/>
          <w:lang w:val="en-US" w:eastAsia="nb-NO"/>
        </w:rPr>
        <w:t xml:space="preserve">is 429,9 MNOK, whereof </w:t>
      </w:r>
      <w:r w:rsidR="00A2079A">
        <w:rPr>
          <w:rFonts w:ascii="Arial" w:eastAsiaTheme="minorHAnsi" w:hAnsi="Arial" w:cs="Arial"/>
          <w:sz w:val="20"/>
          <w:szCs w:val="20"/>
          <w:lang w:val="en-US" w:eastAsia="nb-NO"/>
        </w:rPr>
        <w:t xml:space="preserve">an amount of </w:t>
      </w:r>
      <w:r>
        <w:rPr>
          <w:rFonts w:ascii="Arial" w:eastAsiaTheme="minorHAnsi" w:hAnsi="Arial" w:cs="Arial"/>
          <w:sz w:val="20"/>
          <w:szCs w:val="20"/>
          <w:lang w:val="en-US" w:eastAsia="nb-NO"/>
        </w:rPr>
        <w:t>373,5</w:t>
      </w:r>
      <w:r w:rsidRPr="00F17A8E">
        <w:rPr>
          <w:rFonts w:ascii="Arial" w:eastAsiaTheme="minorHAnsi" w:hAnsi="Arial" w:cs="Arial"/>
          <w:sz w:val="20"/>
          <w:szCs w:val="20"/>
          <w:lang w:val="en-US" w:eastAsia="nb-NO"/>
        </w:rPr>
        <w:t xml:space="preserve"> MNOK will not be recovered through unit rate adjustments in 2023 and 2024, </w:t>
      </w:r>
      <w:bookmarkStart w:id="3" w:name="_Hlk83916522"/>
      <w:r w:rsidRPr="00F17A8E">
        <w:rPr>
          <w:rFonts w:ascii="Arial" w:eastAsiaTheme="minorHAnsi" w:hAnsi="Arial" w:cs="Arial"/>
          <w:sz w:val="20"/>
          <w:szCs w:val="20"/>
          <w:lang w:val="en-US" w:eastAsia="nb-NO"/>
        </w:rPr>
        <w:t xml:space="preserve">nor carried over to the airspace users </w:t>
      </w:r>
      <w:r w:rsidR="00A2079A">
        <w:rPr>
          <w:rFonts w:ascii="Arial" w:eastAsiaTheme="minorHAnsi" w:hAnsi="Arial" w:cs="Arial"/>
          <w:sz w:val="20"/>
          <w:szCs w:val="20"/>
          <w:lang w:val="en-US" w:eastAsia="nb-NO"/>
        </w:rPr>
        <w:t>to</w:t>
      </w:r>
      <w:r w:rsidRPr="00F17A8E">
        <w:rPr>
          <w:rFonts w:ascii="Arial" w:eastAsiaTheme="minorHAnsi" w:hAnsi="Arial" w:cs="Arial"/>
          <w:sz w:val="20"/>
          <w:szCs w:val="20"/>
          <w:lang w:val="en-US" w:eastAsia="nb-NO"/>
        </w:rPr>
        <w:t xml:space="preserve"> the next RP</w:t>
      </w:r>
      <w:bookmarkEnd w:id="3"/>
      <w:r w:rsidRPr="00F17A8E">
        <w:rPr>
          <w:rFonts w:ascii="Arial" w:eastAsiaTheme="minorHAnsi" w:hAnsi="Arial" w:cs="Arial"/>
          <w:sz w:val="20"/>
          <w:szCs w:val="20"/>
          <w:lang w:val="en-US" w:eastAsia="nb-NO"/>
        </w:rPr>
        <w:t>. This is shown in table T3 Revenue difference - revision of UR 2020-2021, set to zero for the years from 2023</w:t>
      </w:r>
      <w:r>
        <w:rPr>
          <w:rFonts w:ascii="Arial" w:eastAsiaTheme="minorHAnsi" w:hAnsi="Arial" w:cs="Arial"/>
          <w:sz w:val="20"/>
          <w:szCs w:val="20"/>
          <w:lang w:val="en-US" w:eastAsia="nb-NO"/>
        </w:rPr>
        <w:t>-2024 (and in next RP), also shown</w:t>
      </w:r>
      <w:r w:rsidRPr="00F17A8E">
        <w:rPr>
          <w:rFonts w:ascii="Arial" w:eastAsiaTheme="minorHAnsi" w:hAnsi="Arial" w:cs="Arial"/>
          <w:sz w:val="20"/>
          <w:szCs w:val="20"/>
          <w:lang w:val="en-US" w:eastAsia="nb-NO"/>
        </w:rPr>
        <w:t xml:space="preserve"> in table T2 item 13.10 Difference in revenue from temporary application of unit rate</w:t>
      </w:r>
      <w:r>
        <w:rPr>
          <w:rFonts w:ascii="Arial" w:eastAsiaTheme="minorHAnsi" w:hAnsi="Arial" w:cs="Arial"/>
          <w:sz w:val="20"/>
          <w:szCs w:val="20"/>
          <w:lang w:val="en-US" w:eastAsia="nb-NO"/>
        </w:rPr>
        <w:t xml:space="preserve"> (</w:t>
      </w:r>
      <w:r w:rsidR="00D145AE" w:rsidRPr="00427C81">
        <w:rPr>
          <w:rFonts w:ascii="Arial" w:eastAsiaTheme="minorHAnsi" w:hAnsi="Arial" w:cs="Arial"/>
          <w:sz w:val="20"/>
          <w:szCs w:val="20"/>
          <w:lang w:val="en-US" w:eastAsia="nb-NO"/>
        </w:rPr>
        <w:t>ref. please see table</w:t>
      </w:r>
      <w:r w:rsidR="00D145AE">
        <w:rPr>
          <w:rFonts w:ascii="Arial" w:eastAsiaTheme="minorHAnsi" w:hAnsi="Arial" w:cs="Arial"/>
          <w:sz w:val="20"/>
          <w:szCs w:val="20"/>
          <w:lang w:val="en-US" w:eastAsia="nb-NO"/>
        </w:rPr>
        <w:t>s</w:t>
      </w:r>
      <w:r w:rsidR="00D145AE" w:rsidRPr="00427C81">
        <w:rPr>
          <w:rFonts w:ascii="Arial" w:eastAsiaTheme="minorHAnsi" w:hAnsi="Arial" w:cs="Arial"/>
          <w:sz w:val="20"/>
          <w:szCs w:val="20"/>
          <w:lang w:val="en-US" w:eastAsia="nb-NO"/>
        </w:rPr>
        <w:t xml:space="preserve"> </w:t>
      </w:r>
      <w:r w:rsidR="00D145AE">
        <w:rPr>
          <w:rFonts w:ascii="Arial" w:eastAsiaTheme="minorHAnsi" w:hAnsi="Arial" w:cs="Arial"/>
          <w:sz w:val="20"/>
          <w:szCs w:val="20"/>
          <w:lang w:val="en-US" w:eastAsia="nb-NO"/>
        </w:rPr>
        <w:t xml:space="preserve">above in </w:t>
      </w:r>
      <w:r w:rsidR="00D145AE" w:rsidRPr="00427C81">
        <w:rPr>
          <w:rFonts w:ascii="Arial" w:eastAsiaTheme="minorHAnsi" w:hAnsi="Arial" w:cs="Arial"/>
          <w:sz w:val="20"/>
          <w:szCs w:val="20"/>
          <w:lang w:val="en-US" w:eastAsia="nb-NO"/>
        </w:rPr>
        <w:t>add.info.</w:t>
      </w:r>
      <w:r w:rsidR="00D145AE">
        <w:rPr>
          <w:rFonts w:ascii="Arial" w:eastAsiaTheme="minorHAnsi" w:hAnsi="Arial" w:cs="Arial"/>
          <w:sz w:val="20"/>
          <w:szCs w:val="20"/>
          <w:lang w:val="en-US" w:eastAsia="nb-NO"/>
        </w:rPr>
        <w:t xml:space="preserve"> </w:t>
      </w:r>
      <w:r w:rsidR="00D145AE" w:rsidRPr="000C39BF">
        <w:rPr>
          <w:rFonts w:ascii="Arial" w:eastAsiaTheme="minorHAnsi" w:hAnsi="Arial" w:cs="Arial"/>
          <w:sz w:val="20"/>
          <w:szCs w:val="20"/>
          <w:lang w:val="en-US" w:eastAsia="nb-NO"/>
        </w:rPr>
        <w:t>to reporting tables</w:t>
      </w:r>
      <w:r w:rsidR="00D145AE">
        <w:rPr>
          <w:rFonts w:ascii="Arial" w:eastAsiaTheme="minorHAnsi" w:hAnsi="Arial" w:cs="Arial"/>
          <w:sz w:val="20"/>
          <w:szCs w:val="20"/>
          <w:lang w:val="en-US" w:eastAsia="nb-NO"/>
        </w:rPr>
        <w:t xml:space="preserve"> 2, </w:t>
      </w:r>
      <w:r w:rsidR="00D145AE" w:rsidRPr="00427C81">
        <w:rPr>
          <w:rFonts w:ascii="Arial" w:eastAsiaTheme="minorHAnsi" w:hAnsi="Arial" w:cs="Arial"/>
          <w:sz w:val="20"/>
          <w:szCs w:val="20"/>
          <w:lang w:val="en-US" w:eastAsia="nb-NO"/>
        </w:rPr>
        <w:t>2 j</w:t>
      </w:r>
      <w:r w:rsidR="00D145AE">
        <w:rPr>
          <w:rFonts w:ascii="Arial" w:eastAsiaTheme="minorHAnsi" w:hAnsi="Arial" w:cs="Arial"/>
          <w:sz w:val="20"/>
          <w:szCs w:val="20"/>
          <w:lang w:val="en-US" w:eastAsia="nb-NO"/>
        </w:rPr>
        <w:t xml:space="preserve">) and 2 </w:t>
      </w:r>
      <w:r w:rsidR="00D145AE" w:rsidRPr="000C39BF">
        <w:rPr>
          <w:rFonts w:ascii="Arial" w:eastAsiaTheme="minorHAnsi" w:hAnsi="Arial" w:cs="Arial"/>
          <w:sz w:val="20"/>
          <w:szCs w:val="20"/>
          <w:lang w:val="en-US" w:eastAsia="nb-NO"/>
        </w:rPr>
        <w:t>k)</w:t>
      </w:r>
      <w:r>
        <w:rPr>
          <w:rFonts w:ascii="Arial" w:eastAsiaTheme="minorHAnsi" w:hAnsi="Arial" w:cs="Arial"/>
          <w:sz w:val="20"/>
          <w:szCs w:val="20"/>
          <w:lang w:val="en-US" w:eastAsia="nb-NO"/>
        </w:rPr>
        <w:t>)</w:t>
      </w:r>
    </w:p>
    <w:p w14:paraId="0863D9B1" w14:textId="77777777" w:rsidR="00767EE3" w:rsidRPr="004A698E" w:rsidRDefault="00767EE3">
      <w:pPr>
        <w:spacing w:before="0" w:after="200" w:line="276" w:lineRule="auto"/>
        <w:jc w:val="left"/>
      </w:pPr>
    </w:p>
    <w:p w14:paraId="7E3259BA" w14:textId="7F644B01" w:rsidR="00DA6212" w:rsidRDefault="00DA6212">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EC40E2" w14:paraId="28AB304E" w14:textId="77777777" w:rsidTr="00C604B4">
        <w:trPr>
          <w:trHeight w:val="396"/>
          <w:jc w:val="center"/>
        </w:trPr>
        <w:tc>
          <w:tcPr>
            <w:tcW w:w="9242" w:type="dxa"/>
            <w:shd w:val="clear" w:color="auto" w:fill="E5B8B7" w:themeFill="accent2" w:themeFillTint="66"/>
            <w:vAlign w:val="center"/>
          </w:tcPr>
          <w:p w14:paraId="4062C84E" w14:textId="55DC8849" w:rsidR="001F08BE" w:rsidRPr="00EC40E2" w:rsidRDefault="006B4B06" w:rsidP="001F08BE">
            <w:pPr>
              <w:pStyle w:val="Default"/>
              <w:jc w:val="center"/>
              <w:rPr>
                <w:rFonts w:ascii="Arial" w:hAnsi="Arial" w:cs="Arial"/>
                <w:b/>
                <w:color w:val="17365D"/>
                <w:sz w:val="20"/>
                <w:szCs w:val="20"/>
              </w:rPr>
            </w:pPr>
            <w:r>
              <w:rPr>
                <w:rFonts w:ascii="Arial" w:hAnsi="Arial" w:cs="Arial"/>
                <w:b/>
                <w:color w:val="17365D"/>
                <w:sz w:val="20"/>
                <w:szCs w:val="20"/>
              </w:rPr>
              <w:lastRenderedPageBreak/>
              <w:t>A</w:t>
            </w:r>
            <w:r w:rsidR="001F08BE" w:rsidRPr="00EC40E2">
              <w:rPr>
                <w:rFonts w:ascii="Arial" w:hAnsi="Arial" w:cs="Arial"/>
                <w:b/>
                <w:color w:val="17365D"/>
                <w:sz w:val="20"/>
                <w:szCs w:val="20"/>
              </w:rPr>
              <w:t>DDITIONAL INFORMATION</w:t>
            </w:r>
            <w:r w:rsidR="001F08BE">
              <w:rPr>
                <w:rFonts w:ascii="Arial" w:hAnsi="Arial" w:cs="Arial"/>
                <w:b/>
                <w:color w:val="17365D"/>
                <w:sz w:val="20"/>
                <w:szCs w:val="20"/>
              </w:rPr>
              <w:t xml:space="preserve"> TO REPORTING TABLE 3</w:t>
            </w:r>
            <w:r w:rsidR="001F08BE" w:rsidRPr="00EC40E2">
              <w:rPr>
                <w:rFonts w:ascii="Arial" w:hAnsi="Arial" w:cs="Arial"/>
                <w:b/>
                <w:color w:val="17365D"/>
                <w:sz w:val="20"/>
                <w:szCs w:val="20"/>
              </w:rPr>
              <w:t xml:space="preserve"> –</w:t>
            </w:r>
            <w:r w:rsidR="001F08BE">
              <w:rPr>
                <w:rFonts w:ascii="Arial" w:hAnsi="Arial" w:cs="Arial"/>
                <w:b/>
                <w:color w:val="17365D"/>
                <w:sz w:val="20"/>
                <w:szCs w:val="20"/>
              </w:rPr>
              <w:t xml:space="preserve"> </w:t>
            </w:r>
            <w:r w:rsidR="00C604B4" w:rsidRPr="00C604B4">
              <w:rPr>
                <w:rFonts w:ascii="Arial" w:hAnsi="Arial" w:cs="Arial"/>
                <w:b/>
                <w:color w:val="17365D"/>
                <w:sz w:val="20"/>
                <w:szCs w:val="20"/>
              </w:rPr>
              <w:t>COMPLEMENTARY INFORMATION ON COMMON PROJECTS AND ON UNION ASSISTANCE PROGRAMME</w:t>
            </w:r>
          </w:p>
        </w:tc>
      </w:tr>
    </w:tbl>
    <w:p w14:paraId="4A68DD41" w14:textId="77777777" w:rsidR="001F08BE" w:rsidRDefault="001F08BE" w:rsidP="001F08BE">
      <w:pPr>
        <w:pStyle w:val="Default"/>
        <w:jc w:val="both"/>
        <w:rPr>
          <w:rFonts w:ascii="Arial" w:hAnsi="Arial" w:cs="Arial"/>
          <w:color w:val="17365D"/>
          <w:sz w:val="20"/>
          <w:szCs w:val="20"/>
        </w:rPr>
      </w:pPr>
    </w:p>
    <w:p w14:paraId="055B896A"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CA5B88" w14:paraId="324BEC01" w14:textId="77777777" w:rsidTr="00C604B4">
        <w:tc>
          <w:tcPr>
            <w:tcW w:w="9242" w:type="dxa"/>
            <w:shd w:val="clear" w:color="auto" w:fill="E5B8B7" w:themeFill="accent2" w:themeFillTint="66"/>
          </w:tcPr>
          <w:p w14:paraId="23B35837" w14:textId="77777777" w:rsidR="001F08BE" w:rsidRPr="00CA5B88" w:rsidRDefault="00C604B4" w:rsidP="00C604B4">
            <w:pPr>
              <w:pStyle w:val="Default"/>
              <w:spacing w:before="60" w:after="60"/>
              <w:rPr>
                <w:rFonts w:ascii="Arial" w:hAnsi="Arial" w:cs="Arial"/>
                <w:b/>
                <w:color w:val="17365D"/>
                <w:sz w:val="20"/>
                <w:szCs w:val="20"/>
              </w:rPr>
            </w:pPr>
            <w:r>
              <w:rPr>
                <w:rFonts w:ascii="Arial" w:hAnsi="Arial" w:cs="Arial"/>
                <w:b/>
                <w:color w:val="17365D"/>
                <w:sz w:val="20"/>
                <w:szCs w:val="20"/>
              </w:rPr>
              <w:t>l</w:t>
            </w:r>
            <w:r w:rsidR="001F08BE">
              <w:rPr>
                <w:rFonts w:ascii="Arial" w:hAnsi="Arial" w:cs="Arial"/>
                <w:b/>
                <w:color w:val="17365D"/>
                <w:sz w:val="20"/>
                <w:szCs w:val="20"/>
              </w:rPr>
              <w:t xml:space="preserve">) </w:t>
            </w:r>
            <w:r>
              <w:rPr>
                <w:rFonts w:ascii="Arial" w:hAnsi="Arial" w:cs="Arial"/>
                <w:b/>
                <w:color w:val="17365D"/>
                <w:sz w:val="20"/>
                <w:szCs w:val="20"/>
              </w:rPr>
              <w:t>I</w:t>
            </w:r>
            <w:r w:rsidRPr="00C604B4">
              <w:rPr>
                <w:rFonts w:ascii="Arial" w:hAnsi="Arial" w:cs="Arial"/>
                <w:b/>
                <w:color w:val="17365D"/>
                <w:sz w:val="20"/>
                <w:szCs w:val="20"/>
              </w:rPr>
              <w:t>nformation on the costs of common projects and other funded projects broken down per individual project, as well as of public funds obtained from public authorities for these projects.</w:t>
            </w:r>
          </w:p>
        </w:tc>
      </w:tr>
    </w:tbl>
    <w:p w14:paraId="25A9BAC8" w14:textId="77777777" w:rsidR="001F08BE" w:rsidRDefault="001F08BE" w:rsidP="001F08BE">
      <w:pPr>
        <w:pStyle w:val="Default"/>
        <w:jc w:val="both"/>
        <w:rPr>
          <w:rFonts w:ascii="Arial" w:hAnsi="Arial" w:cs="Arial"/>
          <w:color w:val="17365D"/>
          <w:sz w:val="20"/>
          <w:szCs w:val="20"/>
        </w:rPr>
      </w:pPr>
    </w:p>
    <w:p w14:paraId="4A2EE1D7" w14:textId="1FF24B9C" w:rsidR="00B42951" w:rsidRDefault="00B42951" w:rsidP="00B42951">
      <w:pPr>
        <w:pStyle w:val="Brdtekstinnrykk2"/>
        <w:ind w:left="0"/>
        <w:rPr>
          <w:spacing w:val="-2"/>
          <w:szCs w:val="20"/>
        </w:rPr>
      </w:pPr>
      <w:r w:rsidRPr="00AF6AB8">
        <w:rPr>
          <w:spacing w:val="-2"/>
          <w:szCs w:val="20"/>
        </w:rPr>
        <w:t>Not applicable for th</w:t>
      </w:r>
      <w:r>
        <w:rPr>
          <w:spacing w:val="-2"/>
          <w:szCs w:val="20"/>
        </w:rPr>
        <w:t>is submission</w:t>
      </w:r>
      <w:r w:rsidR="00553DD0">
        <w:rPr>
          <w:spacing w:val="-2"/>
          <w:szCs w:val="20"/>
        </w:rPr>
        <w:t>,</w:t>
      </w:r>
      <w:r>
        <w:rPr>
          <w:spacing w:val="-2"/>
          <w:szCs w:val="20"/>
        </w:rPr>
        <w:t xml:space="preserve"> </w:t>
      </w:r>
      <w:r>
        <w:rPr>
          <w:rFonts w:eastAsia="Calibri"/>
          <w:color w:val="000000"/>
          <w:szCs w:val="20"/>
        </w:rPr>
        <w:t xml:space="preserve">neither </w:t>
      </w:r>
      <w:r w:rsidR="00553DD0">
        <w:rPr>
          <w:rFonts w:eastAsia="Calibri"/>
          <w:color w:val="000000"/>
          <w:szCs w:val="20"/>
        </w:rPr>
        <w:t xml:space="preserve">projects </w:t>
      </w:r>
      <w:r>
        <w:rPr>
          <w:rFonts w:eastAsia="Calibri"/>
          <w:color w:val="000000"/>
          <w:szCs w:val="20"/>
        </w:rPr>
        <w:t xml:space="preserve">stemming from previous (RP2) </w:t>
      </w:r>
      <w:r w:rsidR="00553DD0">
        <w:rPr>
          <w:rFonts w:eastAsia="Calibri"/>
          <w:color w:val="000000"/>
          <w:szCs w:val="20"/>
        </w:rPr>
        <w:t>n</w:t>
      </w:r>
      <w:r>
        <w:rPr>
          <w:rFonts w:eastAsia="Calibri"/>
          <w:color w:val="000000"/>
          <w:szCs w:val="20"/>
        </w:rPr>
        <w:t xml:space="preserve">or </w:t>
      </w:r>
      <w:r w:rsidRPr="00C65527">
        <w:rPr>
          <w:rFonts w:eastAsia="Calibri"/>
          <w:color w:val="000000"/>
          <w:szCs w:val="20"/>
        </w:rPr>
        <w:t>current reference period RP3</w:t>
      </w:r>
      <w:r w:rsidRPr="00AF6AB8">
        <w:rPr>
          <w:spacing w:val="-2"/>
          <w:szCs w:val="20"/>
        </w:rPr>
        <w:t xml:space="preserve"> </w:t>
      </w:r>
      <w:r>
        <w:rPr>
          <w:spacing w:val="-2"/>
          <w:szCs w:val="20"/>
        </w:rPr>
        <w:t xml:space="preserve">(terminal reporting tables RP3, sheet T1, item 3.9 </w:t>
      </w:r>
      <w:r w:rsidRPr="00237EA9">
        <w:rPr>
          <w:spacing w:val="-2"/>
          <w:szCs w:val="20"/>
        </w:rPr>
        <w:t>Common projects</w:t>
      </w:r>
      <w:r>
        <w:rPr>
          <w:spacing w:val="-2"/>
          <w:szCs w:val="20"/>
        </w:rPr>
        <w:t xml:space="preserve"> and sheet T2, item 13.8)</w:t>
      </w:r>
    </w:p>
    <w:p w14:paraId="039ACC53" w14:textId="77777777" w:rsidR="00B42951" w:rsidRDefault="00B42951" w:rsidP="00B42951">
      <w:pPr>
        <w:pStyle w:val="Default"/>
        <w:jc w:val="both"/>
        <w:rPr>
          <w:rFonts w:ascii="Arial" w:hAnsi="Arial" w:cs="Arial"/>
          <w:color w:val="17365D"/>
          <w:sz w:val="20"/>
          <w:szCs w:val="20"/>
        </w:rPr>
      </w:pPr>
    </w:p>
    <w:p w14:paraId="649D501C" w14:textId="77777777" w:rsidR="00B42951" w:rsidRPr="00590ABC" w:rsidRDefault="00B42951" w:rsidP="00B42951">
      <w:pPr>
        <w:pStyle w:val="Default"/>
        <w:jc w:val="both"/>
        <w:rPr>
          <w:rFonts w:ascii="Arial" w:eastAsia="Times New Roman" w:hAnsi="Arial" w:cs="Arial"/>
          <w:color w:val="auto"/>
          <w:sz w:val="20"/>
        </w:rPr>
      </w:pPr>
      <w:r w:rsidRPr="00F22489">
        <w:rPr>
          <w:rFonts w:ascii="Arial" w:eastAsia="Times New Roman" w:hAnsi="Arial" w:cs="Arial"/>
          <w:color w:val="auto"/>
          <w:sz w:val="20"/>
        </w:rPr>
        <w:t xml:space="preserve">Norway is not part of the European Union’s CEF funding </w:t>
      </w:r>
      <w:r>
        <w:rPr>
          <w:rFonts w:ascii="Arial" w:eastAsia="Times New Roman" w:hAnsi="Arial" w:cs="Arial"/>
          <w:color w:val="auto"/>
          <w:sz w:val="20"/>
        </w:rPr>
        <w:t>program</w:t>
      </w:r>
      <w:r w:rsidRPr="00F22489">
        <w:rPr>
          <w:rFonts w:ascii="Arial" w:eastAsia="Times New Roman" w:hAnsi="Arial" w:cs="Arial"/>
          <w:color w:val="auto"/>
          <w:sz w:val="20"/>
        </w:rPr>
        <w:t xml:space="preserve"> and is not </w:t>
      </w:r>
      <w:r>
        <w:rPr>
          <w:rFonts w:ascii="Arial" w:eastAsia="Times New Roman" w:hAnsi="Arial" w:cs="Arial"/>
          <w:color w:val="auto"/>
          <w:sz w:val="20"/>
        </w:rPr>
        <w:t xml:space="preserve">directly </w:t>
      </w:r>
      <w:r w:rsidRPr="00F22489">
        <w:rPr>
          <w:rFonts w:ascii="Arial" w:eastAsia="Times New Roman" w:hAnsi="Arial" w:cs="Arial"/>
          <w:color w:val="auto"/>
          <w:sz w:val="20"/>
        </w:rPr>
        <w:t>eligible for CEF funding for implementing SESAR solutions.</w:t>
      </w:r>
    </w:p>
    <w:p w14:paraId="779DD9C7" w14:textId="77777777" w:rsidR="00F424DF" w:rsidRDefault="00F424DF" w:rsidP="001F08BE">
      <w:pPr>
        <w:pStyle w:val="Default"/>
        <w:jc w:val="both"/>
        <w:rPr>
          <w:rFonts w:ascii="Arial" w:hAnsi="Arial" w:cs="Arial"/>
          <w:color w:val="17365D"/>
          <w:sz w:val="20"/>
          <w:szCs w:val="20"/>
        </w:rPr>
      </w:pPr>
    </w:p>
    <w:p w14:paraId="7DB894E9" w14:textId="77777777" w:rsidR="001F08BE" w:rsidRPr="00CA5B88" w:rsidRDefault="001F08BE" w:rsidP="001F08BE">
      <w:pPr>
        <w:pStyle w:val="Default"/>
        <w:jc w:val="both"/>
        <w:rPr>
          <w:rFonts w:ascii="Arial" w:hAnsi="Arial" w:cs="Arial"/>
          <w:color w:val="17365D"/>
          <w:sz w:val="20"/>
          <w:szCs w:val="20"/>
        </w:rPr>
      </w:pPr>
    </w:p>
    <w:p w14:paraId="2D35A4F5" w14:textId="77777777" w:rsidR="001F08BE" w:rsidRDefault="001F08BE" w:rsidP="001F08BE">
      <w:pPr>
        <w:jc w:val="center"/>
        <w:rPr>
          <w:i/>
          <w:lang w:eastAsia="de-DE"/>
        </w:rPr>
      </w:pPr>
    </w:p>
    <w:sectPr w:rsidR="001F08BE" w:rsidSect="00D42FEE">
      <w:headerReference w:type="default" r:id="rId19"/>
      <w:footerReference w:type="default" r:id="rId2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E0C95" w14:textId="77777777" w:rsidR="00C546B9" w:rsidRDefault="00C546B9" w:rsidP="00933908">
      <w:pPr>
        <w:spacing w:before="0" w:after="0"/>
      </w:pPr>
      <w:r>
        <w:separator/>
      </w:r>
    </w:p>
  </w:endnote>
  <w:endnote w:type="continuationSeparator" w:id="0">
    <w:p w14:paraId="47202B63" w14:textId="77777777" w:rsidR="00C546B9" w:rsidRDefault="00C546B9" w:rsidP="00933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49650"/>
      <w:docPartObj>
        <w:docPartGallery w:val="Page Numbers (Bottom of Page)"/>
        <w:docPartUnique/>
      </w:docPartObj>
    </w:sdtPr>
    <w:sdtEndPr>
      <w:rPr>
        <w:noProof/>
      </w:rPr>
    </w:sdtEndPr>
    <w:sdtContent>
      <w:p w14:paraId="096EA373" w14:textId="67CC7F5A" w:rsidR="00D97BF9" w:rsidRDefault="00D97BF9">
        <w:pPr>
          <w:pStyle w:val="Bunntekst"/>
          <w:jc w:val="right"/>
        </w:pPr>
        <w:r>
          <w:fldChar w:fldCharType="begin"/>
        </w:r>
        <w:r>
          <w:instrText xml:space="preserve"> PAGE   \* MERGEFORMAT </w:instrText>
        </w:r>
        <w:r>
          <w:fldChar w:fldCharType="separate"/>
        </w:r>
        <w:r w:rsidR="008D642C">
          <w:rPr>
            <w:noProof/>
          </w:rPr>
          <w:t>6</w:t>
        </w:r>
        <w:r>
          <w:rPr>
            <w:noProof/>
          </w:rPr>
          <w:fldChar w:fldCharType="end"/>
        </w:r>
      </w:p>
    </w:sdtContent>
  </w:sdt>
  <w:p w14:paraId="74811C49" w14:textId="77777777" w:rsidR="00D97BF9" w:rsidRDefault="00D97BF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75F29" w14:textId="77777777" w:rsidR="00C546B9" w:rsidRDefault="00C546B9" w:rsidP="00933908">
      <w:pPr>
        <w:spacing w:before="0" w:after="0"/>
      </w:pPr>
      <w:r>
        <w:separator/>
      </w:r>
    </w:p>
  </w:footnote>
  <w:footnote w:type="continuationSeparator" w:id="0">
    <w:p w14:paraId="413F07A5" w14:textId="77777777" w:rsidR="00C546B9" w:rsidRDefault="00C546B9" w:rsidP="00933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989C" w14:textId="440D315C" w:rsidR="002D6CCF" w:rsidRPr="00D97BF9" w:rsidRDefault="008D642C" w:rsidP="00D97BF9">
    <w:pPr>
      <w:pStyle w:val="Topptekst"/>
      <w:jc w:val="center"/>
      <w:rPr>
        <w:b/>
        <w:color w:val="0070C0"/>
        <w:lang w:val="fr-BE"/>
      </w:rPr>
    </w:pPr>
    <w:r>
      <w:rPr>
        <w:b/>
        <w:color w:val="0070C0"/>
        <w:lang w:val="fr-BE"/>
      </w:rPr>
      <w:t>Terminal</w:t>
    </w:r>
    <w:r w:rsidR="00D97BF9" w:rsidRPr="00D97BF9">
      <w:rPr>
        <w:b/>
        <w:color w:val="0070C0"/>
        <w:lang w:val="fr-BE"/>
      </w:rPr>
      <w:t xml:space="preserve"> Charging Zone </w:t>
    </w:r>
    <w:r w:rsidR="009C5EDB">
      <w:rPr>
        <w:b/>
        <w:color w:val="0070C0"/>
        <w:lang w:val="fr-BE"/>
      </w:rPr>
      <w:t>Norway</w:t>
    </w:r>
  </w:p>
  <w:p w14:paraId="52056B2B" w14:textId="77777777" w:rsidR="00D97BF9" w:rsidRPr="00D97BF9" w:rsidRDefault="00D97BF9" w:rsidP="00D97BF9">
    <w:pPr>
      <w:pStyle w:val="Topptekst"/>
      <w:jc w:val="center"/>
      <w:rPr>
        <w:b/>
        <w:color w:val="0070C0"/>
        <w:lang w:val="fr-BE"/>
      </w:rPr>
    </w:pPr>
    <w:r w:rsidRPr="00D97BF9">
      <w:rPr>
        <w:b/>
        <w:color w:val="0070C0"/>
        <w:lang w:val="fr-BE"/>
      </w:rPr>
      <w:t>Reference Period 3 (2020-2024)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B91"/>
    <w:multiLevelType w:val="multilevel"/>
    <w:tmpl w:val="8AB61200"/>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 w15:restartNumberingAfterBreak="0">
    <w:nsid w:val="0D2B4E29"/>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8573BD"/>
    <w:multiLevelType w:val="multilevel"/>
    <w:tmpl w:val="B4FCAD58"/>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3" w15:restartNumberingAfterBreak="0">
    <w:nsid w:val="2658444A"/>
    <w:multiLevelType w:val="hybridMultilevel"/>
    <w:tmpl w:val="195C41F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9BB16AB"/>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5" w15:restartNumberingAfterBreak="0">
    <w:nsid w:val="469C1872"/>
    <w:multiLevelType w:val="hybridMultilevel"/>
    <w:tmpl w:val="810640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72F399F"/>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7BA1026"/>
    <w:multiLevelType w:val="hybridMultilevel"/>
    <w:tmpl w:val="4E220580"/>
    <w:lvl w:ilvl="0" w:tplc="86AC0B14">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E7A0282"/>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9" w15:restartNumberingAfterBreak="0">
    <w:nsid w:val="789E283C"/>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6"/>
  </w:num>
  <w:num w:numId="6">
    <w:abstractNumId w:val="1"/>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9"/>
    <w:rsid w:val="000007C0"/>
    <w:rsid w:val="00005D6C"/>
    <w:rsid w:val="00015E4A"/>
    <w:rsid w:val="00021322"/>
    <w:rsid w:val="000223CD"/>
    <w:rsid w:val="000733FF"/>
    <w:rsid w:val="00075E2E"/>
    <w:rsid w:val="000B3A3C"/>
    <w:rsid w:val="000C4F00"/>
    <w:rsid w:val="000F62F1"/>
    <w:rsid w:val="0010691F"/>
    <w:rsid w:val="001156A3"/>
    <w:rsid w:val="00124203"/>
    <w:rsid w:val="0014754F"/>
    <w:rsid w:val="00153DD4"/>
    <w:rsid w:val="001634F4"/>
    <w:rsid w:val="001976FE"/>
    <w:rsid w:val="001A3339"/>
    <w:rsid w:val="001B1D0C"/>
    <w:rsid w:val="001B23BE"/>
    <w:rsid w:val="001B6162"/>
    <w:rsid w:val="001E265D"/>
    <w:rsid w:val="001E4F4B"/>
    <w:rsid w:val="001F08BE"/>
    <w:rsid w:val="00200277"/>
    <w:rsid w:val="002018BF"/>
    <w:rsid w:val="00201DEF"/>
    <w:rsid w:val="002069E5"/>
    <w:rsid w:val="00224278"/>
    <w:rsid w:val="00226AF4"/>
    <w:rsid w:val="0025507D"/>
    <w:rsid w:val="0027516A"/>
    <w:rsid w:val="002773A2"/>
    <w:rsid w:val="002778DF"/>
    <w:rsid w:val="00277BB7"/>
    <w:rsid w:val="0029794E"/>
    <w:rsid w:val="002A21E3"/>
    <w:rsid w:val="002A33AD"/>
    <w:rsid w:val="002B5229"/>
    <w:rsid w:val="002C30D4"/>
    <w:rsid w:val="002C3EA1"/>
    <w:rsid w:val="002D16A8"/>
    <w:rsid w:val="002D5F12"/>
    <w:rsid w:val="002D6CCF"/>
    <w:rsid w:val="00311682"/>
    <w:rsid w:val="00323FEB"/>
    <w:rsid w:val="00327521"/>
    <w:rsid w:val="003325DD"/>
    <w:rsid w:val="0033360F"/>
    <w:rsid w:val="003476B4"/>
    <w:rsid w:val="003520B8"/>
    <w:rsid w:val="00352E4E"/>
    <w:rsid w:val="00375FC1"/>
    <w:rsid w:val="003831F2"/>
    <w:rsid w:val="00386265"/>
    <w:rsid w:val="003D6459"/>
    <w:rsid w:val="003E0507"/>
    <w:rsid w:val="003E0A30"/>
    <w:rsid w:val="003E34BB"/>
    <w:rsid w:val="003E7093"/>
    <w:rsid w:val="003F26E8"/>
    <w:rsid w:val="00400808"/>
    <w:rsid w:val="00400AD3"/>
    <w:rsid w:val="004110B3"/>
    <w:rsid w:val="00426A37"/>
    <w:rsid w:val="004445BC"/>
    <w:rsid w:val="004656D9"/>
    <w:rsid w:val="00470900"/>
    <w:rsid w:val="004734B9"/>
    <w:rsid w:val="004775FD"/>
    <w:rsid w:val="0048297A"/>
    <w:rsid w:val="00484A48"/>
    <w:rsid w:val="00495E6F"/>
    <w:rsid w:val="004A698E"/>
    <w:rsid w:val="004C438E"/>
    <w:rsid w:val="004E2110"/>
    <w:rsid w:val="004F35F3"/>
    <w:rsid w:val="00511137"/>
    <w:rsid w:val="00516680"/>
    <w:rsid w:val="00535182"/>
    <w:rsid w:val="00553DD0"/>
    <w:rsid w:val="00556F7D"/>
    <w:rsid w:val="0056071D"/>
    <w:rsid w:val="0056319C"/>
    <w:rsid w:val="00566B7A"/>
    <w:rsid w:val="00587914"/>
    <w:rsid w:val="005C630C"/>
    <w:rsid w:val="005C6A74"/>
    <w:rsid w:val="005E485A"/>
    <w:rsid w:val="005F7EBB"/>
    <w:rsid w:val="00601109"/>
    <w:rsid w:val="0061429A"/>
    <w:rsid w:val="006265BC"/>
    <w:rsid w:val="006377CD"/>
    <w:rsid w:val="00651B2C"/>
    <w:rsid w:val="00656051"/>
    <w:rsid w:val="00661770"/>
    <w:rsid w:val="00682D4D"/>
    <w:rsid w:val="00684AAF"/>
    <w:rsid w:val="006A0881"/>
    <w:rsid w:val="006B4B06"/>
    <w:rsid w:val="006C0A39"/>
    <w:rsid w:val="006C459D"/>
    <w:rsid w:val="006E0C7C"/>
    <w:rsid w:val="006E53E8"/>
    <w:rsid w:val="007063B7"/>
    <w:rsid w:val="00711220"/>
    <w:rsid w:val="007146BD"/>
    <w:rsid w:val="007263D0"/>
    <w:rsid w:val="00735524"/>
    <w:rsid w:val="00767EE3"/>
    <w:rsid w:val="00771831"/>
    <w:rsid w:val="0077219B"/>
    <w:rsid w:val="00775946"/>
    <w:rsid w:val="00781B85"/>
    <w:rsid w:val="00785EE8"/>
    <w:rsid w:val="00787A78"/>
    <w:rsid w:val="007926C2"/>
    <w:rsid w:val="0079324C"/>
    <w:rsid w:val="00793899"/>
    <w:rsid w:val="007D1971"/>
    <w:rsid w:val="007D7347"/>
    <w:rsid w:val="0080157D"/>
    <w:rsid w:val="00813AB0"/>
    <w:rsid w:val="008425F4"/>
    <w:rsid w:val="0084391A"/>
    <w:rsid w:val="00847F20"/>
    <w:rsid w:val="00861839"/>
    <w:rsid w:val="00862C29"/>
    <w:rsid w:val="0087262C"/>
    <w:rsid w:val="008A796D"/>
    <w:rsid w:val="008B06AF"/>
    <w:rsid w:val="008C2344"/>
    <w:rsid w:val="008D62E0"/>
    <w:rsid w:val="008D642C"/>
    <w:rsid w:val="008F341B"/>
    <w:rsid w:val="00906B33"/>
    <w:rsid w:val="00914239"/>
    <w:rsid w:val="009203C2"/>
    <w:rsid w:val="00922ACB"/>
    <w:rsid w:val="00933908"/>
    <w:rsid w:val="00935584"/>
    <w:rsid w:val="00936136"/>
    <w:rsid w:val="00937E52"/>
    <w:rsid w:val="0094287F"/>
    <w:rsid w:val="00943A2F"/>
    <w:rsid w:val="0095290E"/>
    <w:rsid w:val="00960D6D"/>
    <w:rsid w:val="00974DC7"/>
    <w:rsid w:val="00977A44"/>
    <w:rsid w:val="009872E2"/>
    <w:rsid w:val="00995DF9"/>
    <w:rsid w:val="00996D5B"/>
    <w:rsid w:val="009A03CD"/>
    <w:rsid w:val="009C5EDB"/>
    <w:rsid w:val="009D005F"/>
    <w:rsid w:val="009E099D"/>
    <w:rsid w:val="009F09C7"/>
    <w:rsid w:val="009F3D90"/>
    <w:rsid w:val="00A00D06"/>
    <w:rsid w:val="00A012FE"/>
    <w:rsid w:val="00A2062D"/>
    <w:rsid w:val="00A2079A"/>
    <w:rsid w:val="00A234ED"/>
    <w:rsid w:val="00A32498"/>
    <w:rsid w:val="00A52CA4"/>
    <w:rsid w:val="00A548B5"/>
    <w:rsid w:val="00A550F9"/>
    <w:rsid w:val="00A60496"/>
    <w:rsid w:val="00A64A01"/>
    <w:rsid w:val="00AA08CC"/>
    <w:rsid w:val="00AB640F"/>
    <w:rsid w:val="00AB7021"/>
    <w:rsid w:val="00B17C0C"/>
    <w:rsid w:val="00B25DD8"/>
    <w:rsid w:val="00B26C49"/>
    <w:rsid w:val="00B30BE9"/>
    <w:rsid w:val="00B35DF6"/>
    <w:rsid w:val="00B4267E"/>
    <w:rsid w:val="00B4281D"/>
    <w:rsid w:val="00B42951"/>
    <w:rsid w:val="00B67C89"/>
    <w:rsid w:val="00B7519A"/>
    <w:rsid w:val="00B84545"/>
    <w:rsid w:val="00B9204B"/>
    <w:rsid w:val="00BA5224"/>
    <w:rsid w:val="00BA5ABF"/>
    <w:rsid w:val="00BD04FC"/>
    <w:rsid w:val="00C22C1D"/>
    <w:rsid w:val="00C31CBA"/>
    <w:rsid w:val="00C546B9"/>
    <w:rsid w:val="00C604B4"/>
    <w:rsid w:val="00C9049D"/>
    <w:rsid w:val="00C93618"/>
    <w:rsid w:val="00C93E84"/>
    <w:rsid w:val="00C94241"/>
    <w:rsid w:val="00CA140E"/>
    <w:rsid w:val="00CC0861"/>
    <w:rsid w:val="00CC6106"/>
    <w:rsid w:val="00CD2715"/>
    <w:rsid w:val="00CF23EC"/>
    <w:rsid w:val="00CF3DB7"/>
    <w:rsid w:val="00CF72BD"/>
    <w:rsid w:val="00D02423"/>
    <w:rsid w:val="00D02608"/>
    <w:rsid w:val="00D145AE"/>
    <w:rsid w:val="00D35ED1"/>
    <w:rsid w:val="00D42FEE"/>
    <w:rsid w:val="00D83977"/>
    <w:rsid w:val="00D97829"/>
    <w:rsid w:val="00D97BF9"/>
    <w:rsid w:val="00DA5544"/>
    <w:rsid w:val="00DA61C0"/>
    <w:rsid w:val="00DA6212"/>
    <w:rsid w:val="00DF080A"/>
    <w:rsid w:val="00DF172F"/>
    <w:rsid w:val="00DF23AD"/>
    <w:rsid w:val="00DF4D39"/>
    <w:rsid w:val="00E2163C"/>
    <w:rsid w:val="00E23858"/>
    <w:rsid w:val="00E24F22"/>
    <w:rsid w:val="00E360FC"/>
    <w:rsid w:val="00E430AA"/>
    <w:rsid w:val="00E44C6C"/>
    <w:rsid w:val="00E44F31"/>
    <w:rsid w:val="00E505C5"/>
    <w:rsid w:val="00E55DB5"/>
    <w:rsid w:val="00E57288"/>
    <w:rsid w:val="00E627C0"/>
    <w:rsid w:val="00E62B47"/>
    <w:rsid w:val="00E9129A"/>
    <w:rsid w:val="00EA0CCA"/>
    <w:rsid w:val="00EA3447"/>
    <w:rsid w:val="00EC1D13"/>
    <w:rsid w:val="00EC6B98"/>
    <w:rsid w:val="00F1062B"/>
    <w:rsid w:val="00F30732"/>
    <w:rsid w:val="00F37F8B"/>
    <w:rsid w:val="00F408BE"/>
    <w:rsid w:val="00F424DF"/>
    <w:rsid w:val="00F4345C"/>
    <w:rsid w:val="00F802D8"/>
    <w:rsid w:val="00FA09E9"/>
    <w:rsid w:val="00FA6219"/>
    <w:rsid w:val="00FB371E"/>
    <w:rsid w:val="00FB6A1B"/>
    <w:rsid w:val="00FE1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5777"/>
    <o:shapelayout v:ext="edit">
      <o:idmap v:ext="edit" data="1"/>
    </o:shapelayout>
  </w:shapeDefaults>
  <w:decimalSymbol w:val=","/>
  <w:listSeparator w:val=";"/>
  <w14:docId w14:val="317F3694"/>
  <w15:chartTrackingRefBased/>
  <w15:docId w15:val="{645952DE-6AD8-41E5-9B2B-6B641F0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49"/>
    <w:pPr>
      <w:spacing w:before="120" w:after="120" w:line="240" w:lineRule="auto"/>
      <w:jc w:val="both"/>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6C49"/>
    <w:rPr>
      <w:color w:val="000000"/>
    </w:rPr>
  </w:style>
  <w:style w:type="paragraph" w:styleId="Topptekst">
    <w:name w:val="header"/>
    <w:basedOn w:val="Normal"/>
    <w:link w:val="TopptekstTegn"/>
    <w:unhideWhenUsed/>
    <w:rsid w:val="00933908"/>
    <w:pPr>
      <w:tabs>
        <w:tab w:val="center" w:pos="4513"/>
        <w:tab w:val="right" w:pos="9026"/>
      </w:tabs>
      <w:spacing w:before="0" w:after="0"/>
    </w:pPr>
  </w:style>
  <w:style w:type="character" w:customStyle="1" w:styleId="TopptekstTegn">
    <w:name w:val="Topptekst Tegn"/>
    <w:basedOn w:val="Standardskriftforavsnitt"/>
    <w:link w:val="Topptekst"/>
    <w:rsid w:val="00933908"/>
    <w:rPr>
      <w:rFonts w:ascii="Times New Roman" w:eastAsia="Times New Roman" w:hAnsi="Times New Roman" w:cs="Times New Roman"/>
      <w:sz w:val="24"/>
      <w:szCs w:val="24"/>
    </w:rPr>
  </w:style>
  <w:style w:type="paragraph" w:styleId="Bunntekst">
    <w:name w:val="footer"/>
    <w:basedOn w:val="Normal"/>
    <w:link w:val="BunntekstTegn"/>
    <w:uiPriority w:val="99"/>
    <w:unhideWhenUsed/>
    <w:rsid w:val="00933908"/>
    <w:pPr>
      <w:tabs>
        <w:tab w:val="center" w:pos="4513"/>
        <w:tab w:val="right" w:pos="9026"/>
      </w:tabs>
      <w:spacing w:before="0" w:after="0"/>
    </w:pPr>
  </w:style>
  <w:style w:type="character" w:customStyle="1" w:styleId="BunntekstTegn">
    <w:name w:val="Bunntekst Tegn"/>
    <w:basedOn w:val="Standardskriftforavsnitt"/>
    <w:link w:val="Bunntekst"/>
    <w:uiPriority w:val="99"/>
    <w:rsid w:val="00933908"/>
    <w:rPr>
      <w:rFonts w:ascii="Times New Roman" w:eastAsia="Times New Roman" w:hAnsi="Times New Roman" w:cs="Times New Roman"/>
      <w:sz w:val="24"/>
      <w:szCs w:val="24"/>
    </w:rPr>
  </w:style>
  <w:style w:type="paragraph" w:customStyle="1" w:styleId="Default">
    <w:name w:val="Default"/>
    <w:link w:val="DefaultChar"/>
    <w:rsid w:val="00933908"/>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DefaultChar">
    <w:name w:val="Default Char"/>
    <w:link w:val="Default"/>
    <w:rsid w:val="00933908"/>
    <w:rPr>
      <w:rFonts w:ascii="Calibri" w:eastAsia="Calibri" w:hAnsi="Calibri" w:cs="Times New Roman"/>
      <w:color w:val="000000"/>
      <w:sz w:val="24"/>
      <w:szCs w:val="24"/>
    </w:rPr>
  </w:style>
  <w:style w:type="table" w:styleId="Tabellrutenett">
    <w:name w:val="Table Grid"/>
    <w:basedOn w:val="Vanligtabell"/>
    <w:uiPriority w:val="59"/>
    <w:rsid w:val="0070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84A48"/>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84A48"/>
    <w:rPr>
      <w:rFonts w:ascii="Segoe UI" w:eastAsia="Times New Roman" w:hAnsi="Segoe UI" w:cs="Segoe UI"/>
      <w:sz w:val="18"/>
      <w:szCs w:val="18"/>
    </w:rPr>
  </w:style>
  <w:style w:type="character" w:styleId="Merknadsreferanse">
    <w:name w:val="annotation reference"/>
    <w:basedOn w:val="Standardskriftforavsnitt"/>
    <w:uiPriority w:val="99"/>
    <w:semiHidden/>
    <w:unhideWhenUsed/>
    <w:rsid w:val="00E2163C"/>
    <w:rPr>
      <w:sz w:val="16"/>
      <w:szCs w:val="16"/>
    </w:rPr>
  </w:style>
  <w:style w:type="paragraph" w:styleId="Merknadstekst">
    <w:name w:val="annotation text"/>
    <w:basedOn w:val="Normal"/>
    <w:link w:val="MerknadstekstTegn"/>
    <w:uiPriority w:val="99"/>
    <w:semiHidden/>
    <w:unhideWhenUsed/>
    <w:rsid w:val="00E2163C"/>
    <w:rPr>
      <w:sz w:val="20"/>
      <w:szCs w:val="20"/>
    </w:rPr>
  </w:style>
  <w:style w:type="character" w:customStyle="1" w:styleId="MerknadstekstTegn">
    <w:name w:val="Merknadstekst Tegn"/>
    <w:basedOn w:val="Standardskriftforavsnitt"/>
    <w:link w:val="Merknadstekst"/>
    <w:uiPriority w:val="99"/>
    <w:semiHidden/>
    <w:rsid w:val="00E2163C"/>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E2163C"/>
    <w:rPr>
      <w:b/>
      <w:bCs/>
    </w:rPr>
  </w:style>
  <w:style w:type="character" w:customStyle="1" w:styleId="KommentaremneTegn">
    <w:name w:val="Kommentaremne Tegn"/>
    <w:basedOn w:val="MerknadstekstTegn"/>
    <w:link w:val="Kommentaremne"/>
    <w:uiPriority w:val="99"/>
    <w:semiHidden/>
    <w:rsid w:val="00E2163C"/>
    <w:rPr>
      <w:rFonts w:ascii="Times New Roman" w:eastAsia="Times New Roman" w:hAnsi="Times New Roman" w:cs="Times New Roman"/>
      <w:b/>
      <w:bCs/>
      <w:sz w:val="20"/>
      <w:szCs w:val="20"/>
    </w:rPr>
  </w:style>
  <w:style w:type="paragraph" w:styleId="Fotnotetekst">
    <w:name w:val="footnote text"/>
    <w:basedOn w:val="Normal"/>
    <w:link w:val="FotnotetekstTegn"/>
    <w:semiHidden/>
    <w:rsid w:val="00B9204B"/>
    <w:pPr>
      <w:spacing w:before="0" w:after="0"/>
      <w:jc w:val="left"/>
    </w:pPr>
    <w:rPr>
      <w:sz w:val="20"/>
      <w:szCs w:val="20"/>
    </w:rPr>
  </w:style>
  <w:style w:type="character" w:customStyle="1" w:styleId="FotnotetekstTegn">
    <w:name w:val="Fotnotetekst Tegn"/>
    <w:basedOn w:val="Standardskriftforavsnitt"/>
    <w:link w:val="Fotnotetekst"/>
    <w:uiPriority w:val="99"/>
    <w:semiHidden/>
    <w:rsid w:val="00B9204B"/>
    <w:rPr>
      <w:rFonts w:ascii="Times New Roman" w:eastAsia="Times New Roman" w:hAnsi="Times New Roman" w:cs="Times New Roman"/>
      <w:sz w:val="20"/>
      <w:szCs w:val="20"/>
    </w:rPr>
  </w:style>
  <w:style w:type="paragraph" w:styleId="Brdtekstinnrykk2">
    <w:name w:val="Body Text Indent 2"/>
    <w:basedOn w:val="Normal"/>
    <w:link w:val="Brdtekstinnrykk2Tegn"/>
    <w:rsid w:val="00B9204B"/>
    <w:pPr>
      <w:spacing w:before="0" w:after="0"/>
      <w:ind w:left="709"/>
    </w:pPr>
    <w:rPr>
      <w:rFonts w:ascii="Arial" w:hAnsi="Arial" w:cs="Arial"/>
      <w:sz w:val="20"/>
    </w:rPr>
  </w:style>
  <w:style w:type="character" w:customStyle="1" w:styleId="Brdtekstinnrykk2Tegn">
    <w:name w:val="Brødtekstinnrykk 2 Tegn"/>
    <w:basedOn w:val="Standardskriftforavsnitt"/>
    <w:link w:val="Brdtekstinnrykk2"/>
    <w:rsid w:val="00B9204B"/>
    <w:rPr>
      <w:rFonts w:ascii="Arial" w:eastAsia="Times New Roman" w:hAnsi="Arial" w:cs="Arial"/>
      <w:sz w:val="20"/>
      <w:szCs w:val="24"/>
    </w:rPr>
  </w:style>
  <w:style w:type="paragraph" w:customStyle="1" w:styleId="xdefault">
    <w:name w:val="x_default"/>
    <w:basedOn w:val="Normal"/>
    <w:rsid w:val="00224278"/>
    <w:pPr>
      <w:autoSpaceDE w:val="0"/>
      <w:autoSpaceDN w:val="0"/>
      <w:spacing w:before="0" w:after="0"/>
      <w:jc w:val="left"/>
    </w:pPr>
    <w:rPr>
      <w:rFonts w:ascii="Calibri" w:eastAsiaTheme="minorHAnsi" w:hAnsi="Calibri" w:cs="Calibri"/>
      <w:color w:val="000000"/>
      <w:lang w:val="nb-NO" w:eastAsia="nb-NO"/>
    </w:rPr>
  </w:style>
  <w:style w:type="paragraph" w:styleId="Revisjon">
    <w:name w:val="Revision"/>
    <w:hidden/>
    <w:uiPriority w:val="99"/>
    <w:semiHidden/>
    <w:rsid w:val="00977A44"/>
    <w:pPr>
      <w:spacing w:after="0"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unhideWhenUsed/>
    <w:rsid w:val="00153DD4"/>
    <w:rPr>
      <w:color w:val="0000FF" w:themeColor="hyperlink"/>
      <w:u w:val="single"/>
    </w:rPr>
  </w:style>
  <w:style w:type="character" w:styleId="Ulstomtale">
    <w:name w:val="Unresolved Mention"/>
    <w:basedOn w:val="Standardskriftforavsnitt"/>
    <w:uiPriority w:val="99"/>
    <w:semiHidden/>
    <w:unhideWhenUsed/>
    <w:rsid w:val="0015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50243">
      <w:bodyDiv w:val="1"/>
      <w:marLeft w:val="0"/>
      <w:marRight w:val="0"/>
      <w:marTop w:val="0"/>
      <w:marBottom w:val="0"/>
      <w:divBdr>
        <w:top w:val="none" w:sz="0" w:space="0" w:color="auto"/>
        <w:left w:val="none" w:sz="0" w:space="0" w:color="auto"/>
        <w:bottom w:val="none" w:sz="0" w:space="0" w:color="auto"/>
        <w:right w:val="none" w:sz="0" w:space="0" w:color="auto"/>
      </w:divBdr>
    </w:div>
    <w:div w:id="164178011">
      <w:bodyDiv w:val="1"/>
      <w:marLeft w:val="0"/>
      <w:marRight w:val="0"/>
      <w:marTop w:val="0"/>
      <w:marBottom w:val="0"/>
      <w:divBdr>
        <w:top w:val="none" w:sz="0" w:space="0" w:color="auto"/>
        <w:left w:val="none" w:sz="0" w:space="0" w:color="auto"/>
        <w:bottom w:val="none" w:sz="0" w:space="0" w:color="auto"/>
        <w:right w:val="none" w:sz="0" w:space="0" w:color="auto"/>
      </w:divBdr>
    </w:div>
    <w:div w:id="236866353">
      <w:bodyDiv w:val="1"/>
      <w:marLeft w:val="0"/>
      <w:marRight w:val="0"/>
      <w:marTop w:val="0"/>
      <w:marBottom w:val="0"/>
      <w:divBdr>
        <w:top w:val="none" w:sz="0" w:space="0" w:color="auto"/>
        <w:left w:val="none" w:sz="0" w:space="0" w:color="auto"/>
        <w:bottom w:val="none" w:sz="0" w:space="0" w:color="auto"/>
        <w:right w:val="none" w:sz="0" w:space="0" w:color="auto"/>
      </w:divBdr>
    </w:div>
    <w:div w:id="351615551">
      <w:bodyDiv w:val="1"/>
      <w:marLeft w:val="0"/>
      <w:marRight w:val="0"/>
      <w:marTop w:val="0"/>
      <w:marBottom w:val="0"/>
      <w:divBdr>
        <w:top w:val="none" w:sz="0" w:space="0" w:color="auto"/>
        <w:left w:val="none" w:sz="0" w:space="0" w:color="auto"/>
        <w:bottom w:val="none" w:sz="0" w:space="0" w:color="auto"/>
        <w:right w:val="none" w:sz="0" w:space="0" w:color="auto"/>
      </w:divBdr>
    </w:div>
    <w:div w:id="413088763">
      <w:bodyDiv w:val="1"/>
      <w:marLeft w:val="0"/>
      <w:marRight w:val="0"/>
      <w:marTop w:val="0"/>
      <w:marBottom w:val="0"/>
      <w:divBdr>
        <w:top w:val="none" w:sz="0" w:space="0" w:color="auto"/>
        <w:left w:val="none" w:sz="0" w:space="0" w:color="auto"/>
        <w:bottom w:val="none" w:sz="0" w:space="0" w:color="auto"/>
        <w:right w:val="none" w:sz="0" w:space="0" w:color="auto"/>
      </w:divBdr>
    </w:div>
    <w:div w:id="616908515">
      <w:bodyDiv w:val="1"/>
      <w:marLeft w:val="0"/>
      <w:marRight w:val="0"/>
      <w:marTop w:val="0"/>
      <w:marBottom w:val="0"/>
      <w:divBdr>
        <w:top w:val="none" w:sz="0" w:space="0" w:color="auto"/>
        <w:left w:val="none" w:sz="0" w:space="0" w:color="auto"/>
        <w:bottom w:val="none" w:sz="0" w:space="0" w:color="auto"/>
        <w:right w:val="none" w:sz="0" w:space="0" w:color="auto"/>
      </w:divBdr>
    </w:div>
    <w:div w:id="693578542">
      <w:bodyDiv w:val="1"/>
      <w:marLeft w:val="0"/>
      <w:marRight w:val="0"/>
      <w:marTop w:val="0"/>
      <w:marBottom w:val="0"/>
      <w:divBdr>
        <w:top w:val="none" w:sz="0" w:space="0" w:color="auto"/>
        <w:left w:val="none" w:sz="0" w:space="0" w:color="auto"/>
        <w:bottom w:val="none" w:sz="0" w:space="0" w:color="auto"/>
        <w:right w:val="none" w:sz="0" w:space="0" w:color="auto"/>
      </w:divBdr>
    </w:div>
    <w:div w:id="987704404">
      <w:bodyDiv w:val="1"/>
      <w:marLeft w:val="0"/>
      <w:marRight w:val="0"/>
      <w:marTop w:val="0"/>
      <w:marBottom w:val="0"/>
      <w:divBdr>
        <w:top w:val="none" w:sz="0" w:space="0" w:color="auto"/>
        <w:left w:val="none" w:sz="0" w:space="0" w:color="auto"/>
        <w:bottom w:val="none" w:sz="0" w:space="0" w:color="auto"/>
        <w:right w:val="none" w:sz="0" w:space="0" w:color="auto"/>
      </w:divBdr>
    </w:div>
    <w:div w:id="1145048661">
      <w:bodyDiv w:val="1"/>
      <w:marLeft w:val="0"/>
      <w:marRight w:val="0"/>
      <w:marTop w:val="0"/>
      <w:marBottom w:val="0"/>
      <w:divBdr>
        <w:top w:val="none" w:sz="0" w:space="0" w:color="auto"/>
        <w:left w:val="none" w:sz="0" w:space="0" w:color="auto"/>
        <w:bottom w:val="none" w:sz="0" w:space="0" w:color="auto"/>
        <w:right w:val="none" w:sz="0" w:space="0" w:color="auto"/>
      </w:divBdr>
    </w:div>
    <w:div w:id="1171750336">
      <w:bodyDiv w:val="1"/>
      <w:marLeft w:val="0"/>
      <w:marRight w:val="0"/>
      <w:marTop w:val="0"/>
      <w:marBottom w:val="0"/>
      <w:divBdr>
        <w:top w:val="none" w:sz="0" w:space="0" w:color="auto"/>
        <w:left w:val="none" w:sz="0" w:space="0" w:color="auto"/>
        <w:bottom w:val="none" w:sz="0" w:space="0" w:color="auto"/>
        <w:right w:val="none" w:sz="0" w:space="0" w:color="auto"/>
      </w:divBdr>
    </w:div>
    <w:div w:id="1287347137">
      <w:bodyDiv w:val="1"/>
      <w:marLeft w:val="0"/>
      <w:marRight w:val="0"/>
      <w:marTop w:val="0"/>
      <w:marBottom w:val="0"/>
      <w:divBdr>
        <w:top w:val="none" w:sz="0" w:space="0" w:color="auto"/>
        <w:left w:val="none" w:sz="0" w:space="0" w:color="auto"/>
        <w:bottom w:val="none" w:sz="0" w:space="0" w:color="auto"/>
        <w:right w:val="none" w:sz="0" w:space="0" w:color="auto"/>
      </w:divBdr>
    </w:div>
    <w:div w:id="1335380210">
      <w:bodyDiv w:val="1"/>
      <w:marLeft w:val="0"/>
      <w:marRight w:val="0"/>
      <w:marTop w:val="0"/>
      <w:marBottom w:val="0"/>
      <w:divBdr>
        <w:top w:val="none" w:sz="0" w:space="0" w:color="auto"/>
        <w:left w:val="none" w:sz="0" w:space="0" w:color="auto"/>
        <w:bottom w:val="none" w:sz="0" w:space="0" w:color="auto"/>
        <w:right w:val="none" w:sz="0" w:space="0" w:color="auto"/>
      </w:divBdr>
    </w:div>
    <w:div w:id="1940335013">
      <w:bodyDiv w:val="1"/>
      <w:marLeft w:val="0"/>
      <w:marRight w:val="0"/>
      <w:marTop w:val="0"/>
      <w:marBottom w:val="0"/>
      <w:divBdr>
        <w:top w:val="none" w:sz="0" w:space="0" w:color="auto"/>
        <w:left w:val="none" w:sz="0" w:space="0" w:color="auto"/>
        <w:bottom w:val="none" w:sz="0" w:space="0" w:color="auto"/>
        <w:right w:val="none" w:sz="0" w:space="0" w:color="auto"/>
      </w:divBdr>
    </w:div>
    <w:div w:id="21466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2C1D8B-489F-470B-B13A-F2CD1A77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4868</Words>
  <Characters>25801</Characters>
  <Application>Microsoft Office Word</Application>
  <DocSecurity>0</DocSecurity>
  <Lines>215</Lines>
  <Paragraphs>61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CAPART Cecile (MOVE)</dc:creator>
  <cp:keywords/>
  <dc:description/>
  <cp:lastModifiedBy>Nicolaisen, Olaf Andreas</cp:lastModifiedBy>
  <cp:revision>4</cp:revision>
  <cp:lastPrinted>2019-04-03T10:33:00Z</cp:lastPrinted>
  <dcterms:created xsi:type="dcterms:W3CDTF">2021-11-12T12:22:00Z</dcterms:created>
  <dcterms:modified xsi:type="dcterms:W3CDTF">2021-11-15T09:10:00Z</dcterms:modified>
</cp:coreProperties>
</file>